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4363E" w14:textId="77777777" w:rsidR="00E27ACC" w:rsidRDefault="00E27ACC" w:rsidP="007838F0">
      <w:pPr>
        <w:spacing w:after="0"/>
        <w:jc w:val="center"/>
        <w:outlineLvl w:val="0"/>
        <w:rPr>
          <w:b/>
          <w:sz w:val="36"/>
          <w:szCs w:val="36"/>
        </w:rPr>
      </w:pPr>
      <w:bookmarkStart w:id="0" w:name="OLE_LINK8"/>
      <w:bookmarkStart w:id="1" w:name="OLE_LINK9"/>
    </w:p>
    <w:p w14:paraId="20A1CA9B" w14:textId="77777777" w:rsidR="00E27ACC" w:rsidRPr="00E27ACC" w:rsidRDefault="00E27ACC" w:rsidP="007838F0">
      <w:pPr>
        <w:spacing w:after="0"/>
        <w:jc w:val="center"/>
        <w:outlineLvl w:val="0"/>
        <w:rPr>
          <w:b/>
          <w:sz w:val="20"/>
          <w:szCs w:val="20"/>
        </w:rPr>
      </w:pPr>
    </w:p>
    <w:p w14:paraId="79E66D3A" w14:textId="77777777" w:rsidR="00B9136E" w:rsidRPr="00B9136E" w:rsidRDefault="00B9136E" w:rsidP="007838F0">
      <w:pPr>
        <w:spacing w:after="0"/>
        <w:jc w:val="center"/>
        <w:outlineLvl w:val="0"/>
        <w:rPr>
          <w:b/>
          <w:sz w:val="36"/>
          <w:szCs w:val="36"/>
        </w:rPr>
      </w:pPr>
      <w:r w:rsidRPr="00B9136E">
        <w:rPr>
          <w:b/>
          <w:sz w:val="36"/>
          <w:szCs w:val="36"/>
        </w:rPr>
        <w:t>Sexual and Reproductive Health Profiles</w:t>
      </w:r>
      <w:bookmarkEnd w:id="0"/>
      <w:bookmarkEnd w:id="1"/>
      <w:r w:rsidRPr="00B9136E">
        <w:rPr>
          <w:b/>
          <w:sz w:val="36"/>
          <w:szCs w:val="36"/>
        </w:rPr>
        <w:t>:</w:t>
      </w:r>
    </w:p>
    <w:p w14:paraId="17F950DE" w14:textId="77777777" w:rsidR="007F7AAC" w:rsidRDefault="009F1F27" w:rsidP="0098652B">
      <w:pPr>
        <w:tabs>
          <w:tab w:val="left" w:pos="7309"/>
        </w:tabs>
        <w:spacing w:after="0"/>
        <w:ind w:left="2160"/>
        <w:rPr>
          <w:b/>
          <w:sz w:val="36"/>
          <w:szCs w:val="36"/>
        </w:rPr>
      </w:pPr>
      <w:r>
        <w:rPr>
          <w:b/>
          <w:sz w:val="36"/>
          <w:szCs w:val="36"/>
        </w:rPr>
        <w:t xml:space="preserve">           Tool updates</w:t>
      </w:r>
      <w:r w:rsidR="0042057D">
        <w:rPr>
          <w:b/>
          <w:sz w:val="36"/>
          <w:szCs w:val="36"/>
        </w:rPr>
        <w:t xml:space="preserve"> </w:t>
      </w:r>
      <w:r w:rsidR="00E472B3">
        <w:rPr>
          <w:b/>
          <w:sz w:val="36"/>
          <w:szCs w:val="36"/>
        </w:rPr>
        <w:t>20</w:t>
      </w:r>
      <w:r w:rsidR="0067047C">
        <w:rPr>
          <w:b/>
          <w:sz w:val="36"/>
          <w:szCs w:val="36"/>
        </w:rPr>
        <w:t>2</w:t>
      </w:r>
      <w:r w:rsidR="005E6370">
        <w:rPr>
          <w:b/>
          <w:sz w:val="36"/>
          <w:szCs w:val="36"/>
        </w:rPr>
        <w:t>1</w:t>
      </w:r>
      <w:r w:rsidR="0098652B">
        <w:rPr>
          <w:b/>
          <w:sz w:val="36"/>
          <w:szCs w:val="36"/>
        </w:rPr>
        <w:tab/>
      </w:r>
    </w:p>
    <w:p w14:paraId="52A025CC" w14:textId="77777777" w:rsidR="000A2768" w:rsidRDefault="00BF02BB" w:rsidP="00BF02BB">
      <w:pPr>
        <w:spacing w:after="0"/>
        <w:jc w:val="both"/>
        <w:rPr>
          <w:sz w:val="24"/>
          <w:szCs w:val="24"/>
        </w:rPr>
      </w:pPr>
      <w:r>
        <w:rPr>
          <w:sz w:val="24"/>
          <w:szCs w:val="24"/>
        </w:rPr>
        <w:t>Updates to the t</w:t>
      </w:r>
      <w:r w:rsidRPr="00C72144">
        <w:rPr>
          <w:sz w:val="24"/>
          <w:szCs w:val="24"/>
        </w:rPr>
        <w:t xml:space="preserve">ool </w:t>
      </w:r>
      <w:r w:rsidR="00902356">
        <w:rPr>
          <w:sz w:val="24"/>
          <w:szCs w:val="24"/>
        </w:rPr>
        <w:t xml:space="preserve">will </w:t>
      </w:r>
      <w:r w:rsidR="003A19F1" w:rsidRPr="003A19F1">
        <w:rPr>
          <w:sz w:val="24"/>
          <w:szCs w:val="24"/>
        </w:rPr>
        <w:t>usually</w:t>
      </w:r>
      <w:r w:rsidR="003A19F1">
        <w:rPr>
          <w:sz w:val="24"/>
          <w:szCs w:val="24"/>
        </w:rPr>
        <w:t xml:space="preserve"> </w:t>
      </w:r>
      <w:r w:rsidR="00902356">
        <w:rPr>
          <w:sz w:val="24"/>
          <w:szCs w:val="24"/>
        </w:rPr>
        <w:t xml:space="preserve">be made </w:t>
      </w:r>
      <w:r w:rsidRPr="00C72144">
        <w:rPr>
          <w:sz w:val="24"/>
          <w:szCs w:val="24"/>
        </w:rPr>
        <w:t xml:space="preserve">on the first Tuesday of </w:t>
      </w:r>
      <w:r>
        <w:rPr>
          <w:sz w:val="24"/>
          <w:szCs w:val="24"/>
        </w:rPr>
        <w:t xml:space="preserve">the </w:t>
      </w:r>
      <w:r w:rsidRPr="00C72144">
        <w:rPr>
          <w:sz w:val="24"/>
          <w:szCs w:val="24"/>
        </w:rPr>
        <w:t>month</w:t>
      </w:r>
      <w:r>
        <w:rPr>
          <w:sz w:val="24"/>
          <w:szCs w:val="24"/>
        </w:rPr>
        <w:t xml:space="preserve">.  </w:t>
      </w:r>
      <w:r w:rsidR="0061208D">
        <w:rPr>
          <w:sz w:val="24"/>
          <w:szCs w:val="24"/>
        </w:rPr>
        <w:t xml:space="preserve">Many </w:t>
      </w:r>
      <w:r w:rsidR="00216BF1">
        <w:rPr>
          <w:sz w:val="24"/>
          <w:szCs w:val="24"/>
        </w:rPr>
        <w:t>i</w:t>
      </w:r>
      <w:r w:rsidR="0061208D">
        <w:rPr>
          <w:sz w:val="24"/>
          <w:szCs w:val="24"/>
        </w:rPr>
        <w:t xml:space="preserve">ndicators rely on data supplied by external organisations or work undertaken for </w:t>
      </w:r>
      <w:r w:rsidR="00902356">
        <w:rPr>
          <w:sz w:val="24"/>
          <w:szCs w:val="24"/>
        </w:rPr>
        <w:t>other PHE profiles</w:t>
      </w:r>
      <w:r w:rsidR="0061208D">
        <w:rPr>
          <w:sz w:val="24"/>
          <w:szCs w:val="24"/>
        </w:rPr>
        <w:t>.</w:t>
      </w:r>
      <w:r w:rsidR="00EF1232">
        <w:rPr>
          <w:sz w:val="24"/>
          <w:szCs w:val="24"/>
        </w:rPr>
        <w:t xml:space="preserve"> </w:t>
      </w:r>
      <w:r w:rsidR="0061208D">
        <w:rPr>
          <w:sz w:val="24"/>
          <w:szCs w:val="24"/>
        </w:rPr>
        <w:t xml:space="preserve"> </w:t>
      </w:r>
      <w:r w:rsidR="00960F40">
        <w:rPr>
          <w:sz w:val="24"/>
          <w:szCs w:val="24"/>
        </w:rPr>
        <w:t>The fol</w:t>
      </w:r>
      <w:r w:rsidR="00EF1232">
        <w:rPr>
          <w:sz w:val="24"/>
          <w:szCs w:val="24"/>
        </w:rPr>
        <w:t xml:space="preserve">lowing table </w:t>
      </w:r>
      <w:r w:rsidR="00960F40">
        <w:rPr>
          <w:sz w:val="24"/>
          <w:szCs w:val="24"/>
        </w:rPr>
        <w:t xml:space="preserve">will be updated as </w:t>
      </w:r>
      <w:r w:rsidR="00902356">
        <w:rPr>
          <w:sz w:val="24"/>
          <w:szCs w:val="24"/>
        </w:rPr>
        <w:t xml:space="preserve">production </w:t>
      </w:r>
      <w:r w:rsidR="000221DC">
        <w:rPr>
          <w:sz w:val="24"/>
          <w:szCs w:val="24"/>
        </w:rPr>
        <w:t xml:space="preserve">dates </w:t>
      </w:r>
      <w:r w:rsidR="00902356">
        <w:rPr>
          <w:sz w:val="24"/>
          <w:szCs w:val="24"/>
        </w:rPr>
        <w:t>become available</w:t>
      </w:r>
      <w:r w:rsidR="000221DC">
        <w:rPr>
          <w:sz w:val="24"/>
          <w:szCs w:val="24"/>
        </w:rPr>
        <w:t>.</w:t>
      </w:r>
      <w:r w:rsidRPr="00BF02BB">
        <w:rPr>
          <w:sz w:val="24"/>
          <w:szCs w:val="24"/>
        </w:rPr>
        <w:t xml:space="preserve"> </w:t>
      </w:r>
    </w:p>
    <w:p w14:paraId="64D6D215" w14:textId="77777777" w:rsidR="004836EE" w:rsidRDefault="004836EE" w:rsidP="00BF02BB">
      <w:pPr>
        <w:spacing w:after="0"/>
        <w:jc w:val="both"/>
        <w:rPr>
          <w:sz w:val="24"/>
          <w:szCs w:val="24"/>
        </w:rPr>
      </w:pPr>
    </w:p>
    <w:tbl>
      <w:tblPr>
        <w:tblStyle w:val="TableGrid"/>
        <w:tblW w:w="5000" w:type="pct"/>
        <w:tblBorders>
          <w:left w:val="none" w:sz="0" w:space="0" w:color="auto"/>
          <w:right w:val="none" w:sz="0" w:space="0" w:color="auto"/>
        </w:tblBorders>
        <w:tblLook w:val="04A0" w:firstRow="1" w:lastRow="0" w:firstColumn="1" w:lastColumn="0" w:noHBand="0" w:noVBand="1"/>
      </w:tblPr>
      <w:tblGrid>
        <w:gridCol w:w="2127"/>
        <w:gridCol w:w="7794"/>
      </w:tblGrid>
      <w:tr w:rsidR="000A2768" w:rsidRPr="007F392D" w14:paraId="4D0CF6F2" w14:textId="77777777" w:rsidTr="00830E60">
        <w:tc>
          <w:tcPr>
            <w:tcW w:w="1072" w:type="pct"/>
            <w:shd w:val="clear" w:color="auto" w:fill="92CDDC" w:themeFill="accent5" w:themeFillTint="99"/>
          </w:tcPr>
          <w:p w14:paraId="20465AB4" w14:textId="77777777" w:rsidR="000A2768" w:rsidRPr="007F392D" w:rsidRDefault="0067047C" w:rsidP="00830E60">
            <w:pPr>
              <w:rPr>
                <w:i/>
                <w:sz w:val="28"/>
                <w:szCs w:val="28"/>
              </w:rPr>
            </w:pPr>
            <w:bookmarkStart w:id="2" w:name="_Hlk31235171"/>
            <w:r>
              <w:rPr>
                <w:b/>
                <w:sz w:val="28"/>
                <w:szCs w:val="28"/>
              </w:rPr>
              <w:t>202</w:t>
            </w:r>
            <w:r w:rsidR="005E6370">
              <w:rPr>
                <w:b/>
                <w:sz w:val="28"/>
                <w:szCs w:val="28"/>
              </w:rPr>
              <w:t>1</w:t>
            </w:r>
          </w:p>
        </w:tc>
        <w:tc>
          <w:tcPr>
            <w:tcW w:w="3928" w:type="pct"/>
            <w:shd w:val="clear" w:color="auto" w:fill="92CDDC" w:themeFill="accent5" w:themeFillTint="99"/>
          </w:tcPr>
          <w:p w14:paraId="46127485" w14:textId="77777777" w:rsidR="000A2768" w:rsidRPr="00770905" w:rsidRDefault="000A2768" w:rsidP="00830E60">
            <w:pPr>
              <w:pStyle w:val="ListParagraph"/>
              <w:ind w:left="360"/>
              <w:rPr>
                <w:i/>
                <w:sz w:val="28"/>
                <w:szCs w:val="28"/>
              </w:rPr>
            </w:pPr>
            <w:r>
              <w:rPr>
                <w:b/>
                <w:sz w:val="28"/>
                <w:szCs w:val="28"/>
              </w:rPr>
              <w:t>Updates</w:t>
            </w:r>
          </w:p>
        </w:tc>
      </w:tr>
      <w:tr w:rsidR="000A2768" w:rsidRPr="007F392D" w14:paraId="7E6AAE64" w14:textId="77777777" w:rsidTr="00083EAB">
        <w:tblPrEx>
          <w:tblBorders>
            <w:left w:val="single" w:sz="4" w:space="0" w:color="auto"/>
            <w:right w:val="single" w:sz="4" w:space="0" w:color="auto"/>
          </w:tblBorders>
        </w:tblPrEx>
        <w:tc>
          <w:tcPr>
            <w:tcW w:w="1072" w:type="pct"/>
            <w:tcBorders>
              <w:left w:val="nil"/>
            </w:tcBorders>
          </w:tcPr>
          <w:p w14:paraId="056A7996" w14:textId="77777777" w:rsidR="000A2768" w:rsidRDefault="000A2768" w:rsidP="00830E60">
            <w:pPr>
              <w:rPr>
                <w:i/>
                <w:sz w:val="28"/>
                <w:szCs w:val="28"/>
              </w:rPr>
            </w:pPr>
            <w:r>
              <w:rPr>
                <w:i/>
                <w:sz w:val="28"/>
                <w:szCs w:val="28"/>
              </w:rPr>
              <w:t>May</w:t>
            </w:r>
          </w:p>
        </w:tc>
        <w:tc>
          <w:tcPr>
            <w:tcW w:w="3928" w:type="pct"/>
            <w:tcBorders>
              <w:right w:val="nil"/>
            </w:tcBorders>
          </w:tcPr>
          <w:p w14:paraId="60C71089" w14:textId="77777777" w:rsidR="005E6370" w:rsidRPr="00083EAB" w:rsidRDefault="005E6370" w:rsidP="005E6370">
            <w:pPr>
              <w:pStyle w:val="ListParagraph"/>
              <w:numPr>
                <w:ilvl w:val="0"/>
                <w:numId w:val="25"/>
              </w:numPr>
              <w:contextualSpacing w:val="0"/>
              <w:rPr>
                <w:rFonts w:eastAsia="Times New Roman"/>
                <w:sz w:val="24"/>
                <w:szCs w:val="24"/>
              </w:rPr>
            </w:pPr>
            <w:r w:rsidRPr="00083EAB">
              <w:rPr>
                <w:rFonts w:eastAsia="Times New Roman"/>
                <w:sz w:val="24"/>
                <w:szCs w:val="24"/>
              </w:rPr>
              <w:t>Ectopic pregnancy admissions rate updated to 2019/20</w:t>
            </w:r>
          </w:p>
          <w:p w14:paraId="4FD23594" w14:textId="77777777" w:rsidR="005E6370" w:rsidRPr="00083EAB" w:rsidRDefault="005E6370" w:rsidP="005E6370">
            <w:pPr>
              <w:pStyle w:val="ListParagraph"/>
              <w:numPr>
                <w:ilvl w:val="0"/>
                <w:numId w:val="25"/>
              </w:numPr>
              <w:contextualSpacing w:val="0"/>
              <w:rPr>
                <w:rFonts w:eastAsia="Times New Roman"/>
                <w:sz w:val="24"/>
                <w:szCs w:val="24"/>
              </w:rPr>
            </w:pPr>
            <w:r w:rsidRPr="00083EAB">
              <w:rPr>
                <w:rFonts w:eastAsia="Times New Roman"/>
                <w:sz w:val="24"/>
                <w:szCs w:val="24"/>
              </w:rPr>
              <w:t>Pelvic inflammatory disease (PID) admissions rate updated to 2019/20</w:t>
            </w:r>
          </w:p>
          <w:p w14:paraId="4E5E587D" w14:textId="77777777" w:rsidR="005E6370" w:rsidRPr="00083EAB" w:rsidRDefault="005E6370" w:rsidP="005E6370">
            <w:pPr>
              <w:pStyle w:val="ListParagraph"/>
              <w:numPr>
                <w:ilvl w:val="0"/>
                <w:numId w:val="25"/>
              </w:numPr>
              <w:contextualSpacing w:val="0"/>
              <w:rPr>
                <w:rFonts w:eastAsia="Times New Roman"/>
                <w:sz w:val="24"/>
                <w:szCs w:val="24"/>
              </w:rPr>
            </w:pPr>
            <w:r w:rsidRPr="00083EAB">
              <w:rPr>
                <w:rFonts w:eastAsia="Times New Roman"/>
                <w:sz w:val="24"/>
                <w:szCs w:val="24"/>
              </w:rPr>
              <w:t>Under 18s birth rate updated to 2019</w:t>
            </w:r>
          </w:p>
          <w:p w14:paraId="14759891" w14:textId="77777777" w:rsidR="000A2768" w:rsidRPr="00083EAB" w:rsidRDefault="000A2768" w:rsidP="00830E60">
            <w:pPr>
              <w:pStyle w:val="ListParagraph"/>
              <w:ind w:left="360"/>
              <w:rPr>
                <w:sz w:val="24"/>
                <w:szCs w:val="24"/>
              </w:rPr>
            </w:pPr>
          </w:p>
        </w:tc>
      </w:tr>
      <w:tr w:rsidR="00083EAB" w:rsidRPr="007F392D" w14:paraId="510068AA" w14:textId="77777777" w:rsidTr="004A0539">
        <w:tblPrEx>
          <w:tblBorders>
            <w:left w:val="single" w:sz="4" w:space="0" w:color="auto"/>
            <w:right w:val="single" w:sz="4" w:space="0" w:color="auto"/>
          </w:tblBorders>
        </w:tblPrEx>
        <w:tc>
          <w:tcPr>
            <w:tcW w:w="1072" w:type="pct"/>
            <w:tcBorders>
              <w:left w:val="nil"/>
            </w:tcBorders>
          </w:tcPr>
          <w:p w14:paraId="5DB1299D" w14:textId="77777777" w:rsidR="00083EAB" w:rsidRDefault="00083EAB" w:rsidP="00830E60">
            <w:pPr>
              <w:rPr>
                <w:i/>
                <w:sz w:val="28"/>
                <w:szCs w:val="28"/>
              </w:rPr>
            </w:pPr>
            <w:r>
              <w:rPr>
                <w:i/>
                <w:sz w:val="28"/>
                <w:szCs w:val="28"/>
              </w:rPr>
              <w:t>September</w:t>
            </w:r>
          </w:p>
        </w:tc>
        <w:tc>
          <w:tcPr>
            <w:tcW w:w="3928" w:type="pct"/>
            <w:tcBorders>
              <w:right w:val="nil"/>
            </w:tcBorders>
          </w:tcPr>
          <w:p w14:paraId="70964C77" w14:textId="62A8252B" w:rsidR="00083EAB" w:rsidRPr="00083EAB" w:rsidRDefault="006315A5" w:rsidP="005E6370">
            <w:pPr>
              <w:pStyle w:val="ListParagraph"/>
              <w:numPr>
                <w:ilvl w:val="0"/>
                <w:numId w:val="25"/>
              </w:numPr>
              <w:contextualSpacing w:val="0"/>
              <w:rPr>
                <w:rFonts w:eastAsia="Times New Roman"/>
                <w:sz w:val="24"/>
                <w:szCs w:val="24"/>
              </w:rPr>
            </w:pPr>
            <w:r>
              <w:rPr>
                <w:rFonts w:eastAsia="Times New Roman"/>
                <w:sz w:val="24"/>
                <w:szCs w:val="24"/>
              </w:rPr>
              <w:t xml:space="preserve">14 </w:t>
            </w:r>
            <w:r w:rsidR="00083EAB" w:rsidRPr="00083EAB">
              <w:rPr>
                <w:rFonts w:eastAsia="Times New Roman"/>
                <w:sz w:val="24"/>
                <w:szCs w:val="24"/>
              </w:rPr>
              <w:t>STI indicators relating to GUMCAD and CTAD data update – to include revision of previously published data and new data point for the calendar year 2020. STI data updated to recent local authority boundaries valid from April 2021.</w:t>
            </w:r>
          </w:p>
        </w:tc>
      </w:tr>
      <w:tr w:rsidR="004A0539" w:rsidRPr="007F392D" w14:paraId="4D0A72E1" w14:textId="77777777" w:rsidTr="00830E60">
        <w:tblPrEx>
          <w:tblBorders>
            <w:left w:val="single" w:sz="4" w:space="0" w:color="auto"/>
            <w:right w:val="single" w:sz="4" w:space="0" w:color="auto"/>
          </w:tblBorders>
        </w:tblPrEx>
        <w:tc>
          <w:tcPr>
            <w:tcW w:w="1072" w:type="pct"/>
            <w:tcBorders>
              <w:left w:val="nil"/>
              <w:bottom w:val="single" w:sz="4" w:space="0" w:color="auto"/>
            </w:tcBorders>
          </w:tcPr>
          <w:p w14:paraId="2E1BB2F6" w14:textId="3BF86EA1" w:rsidR="004A0539" w:rsidRDefault="008C3F2C" w:rsidP="00830E60">
            <w:pPr>
              <w:rPr>
                <w:i/>
                <w:sz w:val="28"/>
                <w:szCs w:val="28"/>
              </w:rPr>
            </w:pPr>
            <w:r>
              <w:rPr>
                <w:i/>
                <w:sz w:val="28"/>
                <w:szCs w:val="28"/>
              </w:rPr>
              <w:t xml:space="preserve">1 </w:t>
            </w:r>
            <w:r w:rsidR="004A0539">
              <w:rPr>
                <w:i/>
                <w:sz w:val="28"/>
                <w:szCs w:val="28"/>
              </w:rPr>
              <w:t>December</w:t>
            </w:r>
          </w:p>
        </w:tc>
        <w:tc>
          <w:tcPr>
            <w:tcW w:w="3928" w:type="pct"/>
            <w:tcBorders>
              <w:bottom w:val="single" w:sz="4" w:space="0" w:color="auto"/>
              <w:right w:val="nil"/>
            </w:tcBorders>
          </w:tcPr>
          <w:p w14:paraId="39B75951" w14:textId="5DA766F0" w:rsidR="00EA38AC" w:rsidRDefault="004A0539" w:rsidP="004C166A">
            <w:pPr>
              <w:pStyle w:val="ListParagraph"/>
              <w:numPr>
                <w:ilvl w:val="0"/>
                <w:numId w:val="25"/>
              </w:numPr>
              <w:rPr>
                <w:rFonts w:eastAsia="Times New Roman"/>
                <w:sz w:val="24"/>
                <w:szCs w:val="24"/>
              </w:rPr>
            </w:pPr>
            <w:r w:rsidRPr="00EA38AC">
              <w:rPr>
                <w:rFonts w:eastAsia="Times New Roman"/>
                <w:sz w:val="24"/>
                <w:szCs w:val="24"/>
              </w:rPr>
              <w:t xml:space="preserve">17 HIV indicators </w:t>
            </w:r>
            <w:r w:rsidR="00EA38AC" w:rsidRPr="00EA38AC">
              <w:rPr>
                <w:rFonts w:eastAsia="Times New Roman"/>
                <w:sz w:val="24"/>
                <w:szCs w:val="24"/>
              </w:rPr>
              <w:t>data update – to include revision of previously published data and new data point for the calendar year 2020</w:t>
            </w:r>
            <w:r w:rsidRPr="00EA38AC">
              <w:rPr>
                <w:rFonts w:eastAsia="Times New Roman"/>
                <w:sz w:val="24"/>
                <w:szCs w:val="24"/>
              </w:rPr>
              <w:t>.</w:t>
            </w:r>
            <w:r w:rsidR="00EA38AC" w:rsidRPr="00EA38AC">
              <w:rPr>
                <w:rFonts w:eastAsia="Times New Roman"/>
                <w:sz w:val="24"/>
                <w:szCs w:val="24"/>
              </w:rPr>
              <w:t xml:space="preserve">  HIV data updated to recent local authority boundaries valid from April 2021.</w:t>
            </w:r>
          </w:p>
          <w:p w14:paraId="4CCB1C3C" w14:textId="77777777" w:rsidR="00EA38AC" w:rsidRDefault="00EA38AC" w:rsidP="00EA38AC">
            <w:pPr>
              <w:ind w:left="720"/>
              <w:rPr>
                <w:rFonts w:eastAsia="Times New Roman"/>
                <w:sz w:val="24"/>
                <w:szCs w:val="24"/>
              </w:rPr>
            </w:pPr>
          </w:p>
          <w:p w14:paraId="6C8DF56A" w14:textId="33152221" w:rsidR="004A0539" w:rsidRPr="00EA38AC" w:rsidRDefault="004A0539" w:rsidP="00EA38AC">
            <w:pPr>
              <w:ind w:left="720"/>
              <w:rPr>
                <w:rFonts w:eastAsia="Times New Roman"/>
                <w:sz w:val="24"/>
                <w:szCs w:val="24"/>
              </w:rPr>
            </w:pPr>
            <w:r w:rsidRPr="00EA38AC">
              <w:rPr>
                <w:rFonts w:eastAsia="Times New Roman"/>
                <w:sz w:val="24"/>
                <w:szCs w:val="24"/>
              </w:rPr>
              <w:t>Three of these HIV indicators are new:</w:t>
            </w:r>
          </w:p>
          <w:p w14:paraId="002E873A" w14:textId="77777777" w:rsidR="00EA38AC" w:rsidRPr="00EA38AC" w:rsidRDefault="00EA38AC" w:rsidP="00EA38AC">
            <w:pPr>
              <w:rPr>
                <w:rFonts w:eastAsia="Times New Roman"/>
                <w:sz w:val="24"/>
                <w:szCs w:val="24"/>
              </w:rPr>
            </w:pPr>
          </w:p>
          <w:p w14:paraId="48F7585D" w14:textId="77777777" w:rsidR="004A0539" w:rsidRPr="004A0539" w:rsidRDefault="004A0539" w:rsidP="008837BD">
            <w:pPr>
              <w:pStyle w:val="ListParagraph"/>
              <w:numPr>
                <w:ilvl w:val="1"/>
                <w:numId w:val="25"/>
              </w:numPr>
              <w:rPr>
                <w:rFonts w:eastAsia="Times New Roman"/>
                <w:sz w:val="24"/>
                <w:szCs w:val="24"/>
              </w:rPr>
            </w:pPr>
            <w:r w:rsidRPr="004A0539">
              <w:rPr>
                <w:rFonts w:eastAsia="Times New Roman"/>
                <w:sz w:val="24"/>
                <w:szCs w:val="24"/>
              </w:rPr>
              <w:t>HIV diagnosed prevalence rate per 1,000 population aged 15 years and over</w:t>
            </w:r>
          </w:p>
          <w:p w14:paraId="5405CA51" w14:textId="77777777" w:rsidR="004A0539" w:rsidRPr="004A0539" w:rsidRDefault="004A0539" w:rsidP="008837BD">
            <w:pPr>
              <w:pStyle w:val="ListParagraph"/>
              <w:numPr>
                <w:ilvl w:val="1"/>
                <w:numId w:val="25"/>
              </w:numPr>
              <w:rPr>
                <w:rFonts w:eastAsia="Times New Roman"/>
                <w:sz w:val="24"/>
                <w:szCs w:val="24"/>
              </w:rPr>
            </w:pPr>
            <w:r w:rsidRPr="004A0539">
              <w:rPr>
                <w:rFonts w:eastAsia="Times New Roman"/>
                <w:sz w:val="24"/>
                <w:szCs w:val="24"/>
              </w:rPr>
              <w:t>New HIV diagnoses among persons first diagnosed in the UK rate per 100,000 aged 15 years and over</w:t>
            </w:r>
          </w:p>
          <w:p w14:paraId="77AD43AE" w14:textId="27303C07" w:rsidR="009F04B1" w:rsidRPr="00EA38AC" w:rsidRDefault="004A0539" w:rsidP="00EA38AC">
            <w:pPr>
              <w:pStyle w:val="ListParagraph"/>
              <w:numPr>
                <w:ilvl w:val="1"/>
                <w:numId w:val="25"/>
              </w:numPr>
              <w:rPr>
                <w:rFonts w:eastAsia="Times New Roman"/>
                <w:sz w:val="24"/>
                <w:szCs w:val="24"/>
              </w:rPr>
            </w:pPr>
            <w:r w:rsidRPr="004A0539">
              <w:rPr>
                <w:rFonts w:eastAsia="Times New Roman"/>
                <w:sz w:val="24"/>
                <w:szCs w:val="24"/>
              </w:rPr>
              <w:t>Antiretroviral therapy (ART) coverage in adults accessing HIV care (%)</w:t>
            </w:r>
          </w:p>
        </w:tc>
      </w:tr>
      <w:bookmarkEnd w:id="2"/>
    </w:tbl>
    <w:p w14:paraId="17BC3048" w14:textId="77777777" w:rsidR="000A2768" w:rsidRDefault="000A2768" w:rsidP="00BF02BB">
      <w:pPr>
        <w:spacing w:after="0"/>
        <w:jc w:val="both"/>
        <w:rPr>
          <w:sz w:val="24"/>
          <w:szCs w:val="24"/>
        </w:rPr>
      </w:pPr>
    </w:p>
    <w:p w14:paraId="2994EA90" w14:textId="77777777" w:rsidR="000A2768" w:rsidRDefault="000A2768">
      <w:pPr>
        <w:rPr>
          <w:b/>
          <w:sz w:val="36"/>
          <w:szCs w:val="36"/>
        </w:rPr>
      </w:pPr>
      <w:r>
        <w:rPr>
          <w:b/>
          <w:sz w:val="36"/>
          <w:szCs w:val="36"/>
        </w:rPr>
        <w:br w:type="page"/>
      </w:r>
    </w:p>
    <w:p w14:paraId="50F756D3" w14:textId="77777777" w:rsidR="00A837B0" w:rsidRDefault="00A837B0">
      <w:pPr>
        <w:rPr>
          <w:b/>
          <w:sz w:val="36"/>
          <w:szCs w:val="36"/>
        </w:rPr>
      </w:pPr>
    </w:p>
    <w:p w14:paraId="3BCAC58D" w14:textId="77777777" w:rsidR="00EF145F" w:rsidRDefault="0093349B" w:rsidP="0093349B">
      <w:pPr>
        <w:tabs>
          <w:tab w:val="left" w:pos="7309"/>
        </w:tabs>
        <w:spacing w:after="0"/>
        <w:rPr>
          <w:b/>
          <w:sz w:val="36"/>
          <w:szCs w:val="36"/>
        </w:rPr>
      </w:pPr>
      <w:r>
        <w:rPr>
          <w:b/>
          <w:sz w:val="36"/>
          <w:szCs w:val="36"/>
        </w:rPr>
        <w:t xml:space="preserve">           </w:t>
      </w:r>
      <w:bookmarkStart w:id="3" w:name="Previous"/>
      <w:bookmarkEnd w:id="3"/>
      <w:r w:rsidR="00EF145F">
        <w:rPr>
          <w:b/>
          <w:sz w:val="36"/>
          <w:szCs w:val="36"/>
        </w:rPr>
        <w:t xml:space="preserve">Record of previous tool updates </w:t>
      </w:r>
      <w:r>
        <w:rPr>
          <w:b/>
          <w:sz w:val="36"/>
          <w:szCs w:val="36"/>
        </w:rPr>
        <w:t>(in reverse year order)</w:t>
      </w:r>
      <w:r w:rsidR="00EF145F">
        <w:rPr>
          <w:b/>
          <w:sz w:val="36"/>
          <w:szCs w:val="36"/>
        </w:rPr>
        <w:tab/>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2127"/>
        <w:gridCol w:w="10"/>
        <w:gridCol w:w="7784"/>
      </w:tblGrid>
      <w:tr w:rsidR="005E6370" w:rsidRPr="007F392D" w14:paraId="487A34F7" w14:textId="77777777" w:rsidTr="00416AB4">
        <w:tc>
          <w:tcPr>
            <w:tcW w:w="1072" w:type="pct"/>
            <w:shd w:val="clear" w:color="auto" w:fill="92CDDC" w:themeFill="accent5" w:themeFillTint="99"/>
          </w:tcPr>
          <w:p w14:paraId="6D099773" w14:textId="77777777" w:rsidR="005E6370" w:rsidRPr="007F392D" w:rsidRDefault="005E6370" w:rsidP="00416AB4">
            <w:pPr>
              <w:rPr>
                <w:i/>
                <w:sz w:val="28"/>
                <w:szCs w:val="28"/>
              </w:rPr>
            </w:pPr>
            <w:r>
              <w:rPr>
                <w:b/>
                <w:sz w:val="28"/>
                <w:szCs w:val="28"/>
              </w:rPr>
              <w:t>2020</w:t>
            </w:r>
          </w:p>
        </w:tc>
        <w:tc>
          <w:tcPr>
            <w:tcW w:w="3928" w:type="pct"/>
            <w:gridSpan w:val="2"/>
            <w:shd w:val="clear" w:color="auto" w:fill="92CDDC" w:themeFill="accent5" w:themeFillTint="99"/>
          </w:tcPr>
          <w:p w14:paraId="2403FFD4" w14:textId="77777777" w:rsidR="005E6370" w:rsidRPr="00770905" w:rsidRDefault="005E6370" w:rsidP="00416AB4">
            <w:pPr>
              <w:pStyle w:val="ListParagraph"/>
              <w:ind w:left="360"/>
              <w:rPr>
                <w:i/>
                <w:sz w:val="28"/>
                <w:szCs w:val="28"/>
              </w:rPr>
            </w:pPr>
            <w:r>
              <w:rPr>
                <w:b/>
                <w:sz w:val="28"/>
                <w:szCs w:val="28"/>
              </w:rPr>
              <w:t>Updates</w:t>
            </w:r>
          </w:p>
        </w:tc>
      </w:tr>
      <w:tr w:rsidR="005E6370" w:rsidRPr="007F392D" w14:paraId="183EBA01" w14:textId="77777777" w:rsidTr="00416AB4">
        <w:tblPrEx>
          <w:tblBorders>
            <w:left w:val="single" w:sz="4" w:space="0" w:color="auto"/>
            <w:right w:val="single" w:sz="4" w:space="0" w:color="auto"/>
          </w:tblBorders>
        </w:tblPrEx>
        <w:tc>
          <w:tcPr>
            <w:tcW w:w="1072" w:type="pct"/>
            <w:tcBorders>
              <w:left w:val="nil"/>
              <w:bottom w:val="single" w:sz="4" w:space="0" w:color="auto"/>
            </w:tcBorders>
          </w:tcPr>
          <w:p w14:paraId="134ED67A" w14:textId="77777777" w:rsidR="005E6370" w:rsidRDefault="005E6370" w:rsidP="00416AB4">
            <w:pPr>
              <w:rPr>
                <w:i/>
                <w:sz w:val="28"/>
                <w:szCs w:val="28"/>
              </w:rPr>
            </w:pPr>
            <w:r>
              <w:rPr>
                <w:i/>
                <w:sz w:val="28"/>
                <w:szCs w:val="28"/>
              </w:rPr>
              <w:t>May</w:t>
            </w:r>
          </w:p>
        </w:tc>
        <w:tc>
          <w:tcPr>
            <w:tcW w:w="3928" w:type="pct"/>
            <w:gridSpan w:val="2"/>
            <w:tcBorders>
              <w:bottom w:val="single" w:sz="4" w:space="0" w:color="auto"/>
              <w:right w:val="nil"/>
            </w:tcBorders>
          </w:tcPr>
          <w:p w14:paraId="5286CBA1" w14:textId="77777777" w:rsidR="005E6370" w:rsidRPr="00CF6E95" w:rsidRDefault="005E6370" w:rsidP="00416AB4">
            <w:pPr>
              <w:pStyle w:val="ListParagraph"/>
              <w:ind w:left="360"/>
              <w:rPr>
                <w:sz w:val="24"/>
                <w:szCs w:val="24"/>
              </w:rPr>
            </w:pPr>
          </w:p>
        </w:tc>
      </w:tr>
      <w:tr w:rsidR="005E6370" w:rsidRPr="007F392D" w14:paraId="1E1B4C11" w14:textId="77777777" w:rsidTr="00416AB4">
        <w:tblPrEx>
          <w:tblBorders>
            <w:left w:val="single" w:sz="4" w:space="0" w:color="auto"/>
            <w:right w:val="single" w:sz="4" w:space="0" w:color="auto"/>
          </w:tblBorders>
        </w:tblPrEx>
        <w:tc>
          <w:tcPr>
            <w:tcW w:w="1072" w:type="pct"/>
            <w:tcBorders>
              <w:left w:val="nil"/>
              <w:bottom w:val="single" w:sz="4" w:space="0" w:color="auto"/>
            </w:tcBorders>
          </w:tcPr>
          <w:p w14:paraId="39727C06" w14:textId="77777777" w:rsidR="005E6370" w:rsidRDefault="005E6370" w:rsidP="00416AB4">
            <w:pPr>
              <w:rPr>
                <w:i/>
                <w:sz w:val="28"/>
                <w:szCs w:val="28"/>
              </w:rPr>
            </w:pPr>
          </w:p>
        </w:tc>
        <w:tc>
          <w:tcPr>
            <w:tcW w:w="3928" w:type="pct"/>
            <w:gridSpan w:val="2"/>
            <w:tcBorders>
              <w:bottom w:val="single" w:sz="4" w:space="0" w:color="auto"/>
              <w:right w:val="nil"/>
            </w:tcBorders>
          </w:tcPr>
          <w:p w14:paraId="780CCCD7" w14:textId="77777777" w:rsidR="005E6370" w:rsidRPr="00C71597" w:rsidRDefault="005E6370" w:rsidP="00416AB4">
            <w:pPr>
              <w:pStyle w:val="ListParagraph"/>
              <w:numPr>
                <w:ilvl w:val="0"/>
                <w:numId w:val="15"/>
              </w:numPr>
              <w:rPr>
                <w:sz w:val="24"/>
                <w:szCs w:val="24"/>
              </w:rPr>
            </w:pPr>
            <w:r>
              <w:rPr>
                <w:sz w:val="24"/>
                <w:szCs w:val="24"/>
              </w:rPr>
              <w:t>Teenage conception indicators updated to 2018</w:t>
            </w:r>
          </w:p>
        </w:tc>
      </w:tr>
      <w:tr w:rsidR="005E6370" w:rsidRPr="00770905" w14:paraId="7B2C8CBA" w14:textId="77777777" w:rsidTr="00416AB4">
        <w:tblPrEx>
          <w:tblBorders>
            <w:left w:val="single" w:sz="4" w:space="0" w:color="auto"/>
            <w:right w:val="single" w:sz="4" w:space="0" w:color="auto"/>
          </w:tblBorders>
        </w:tblPrEx>
        <w:tc>
          <w:tcPr>
            <w:tcW w:w="1072" w:type="pct"/>
            <w:tcBorders>
              <w:left w:val="nil"/>
            </w:tcBorders>
          </w:tcPr>
          <w:p w14:paraId="1841FAAD" w14:textId="77777777" w:rsidR="005E6370" w:rsidRDefault="005E6370" w:rsidP="00416AB4">
            <w:pPr>
              <w:rPr>
                <w:i/>
                <w:sz w:val="28"/>
                <w:szCs w:val="28"/>
              </w:rPr>
            </w:pPr>
            <w:r>
              <w:rPr>
                <w:i/>
                <w:sz w:val="28"/>
                <w:szCs w:val="28"/>
              </w:rPr>
              <w:t>June</w:t>
            </w:r>
          </w:p>
        </w:tc>
        <w:tc>
          <w:tcPr>
            <w:tcW w:w="3928" w:type="pct"/>
            <w:gridSpan w:val="2"/>
            <w:tcBorders>
              <w:right w:val="nil"/>
            </w:tcBorders>
          </w:tcPr>
          <w:p w14:paraId="363A71CD" w14:textId="77777777" w:rsidR="005E6370" w:rsidRDefault="005E6370" w:rsidP="00416AB4">
            <w:pPr>
              <w:pStyle w:val="ListParagraph"/>
              <w:ind w:left="357"/>
              <w:rPr>
                <w:sz w:val="24"/>
                <w:szCs w:val="24"/>
              </w:rPr>
            </w:pPr>
          </w:p>
        </w:tc>
      </w:tr>
      <w:tr w:rsidR="005E6370" w:rsidRPr="00770905" w14:paraId="778AE5B1" w14:textId="77777777" w:rsidTr="00416AB4">
        <w:tblPrEx>
          <w:tblBorders>
            <w:left w:val="single" w:sz="4" w:space="0" w:color="auto"/>
            <w:right w:val="single" w:sz="4" w:space="0" w:color="auto"/>
          </w:tblBorders>
        </w:tblPrEx>
        <w:tc>
          <w:tcPr>
            <w:tcW w:w="1072" w:type="pct"/>
            <w:tcBorders>
              <w:left w:val="nil"/>
            </w:tcBorders>
          </w:tcPr>
          <w:p w14:paraId="771FB1CE" w14:textId="77777777" w:rsidR="005E6370" w:rsidRDefault="005E6370" w:rsidP="00416AB4">
            <w:pPr>
              <w:rPr>
                <w:i/>
                <w:sz w:val="28"/>
                <w:szCs w:val="28"/>
              </w:rPr>
            </w:pPr>
          </w:p>
        </w:tc>
        <w:tc>
          <w:tcPr>
            <w:tcW w:w="3928" w:type="pct"/>
            <w:gridSpan w:val="2"/>
            <w:tcBorders>
              <w:right w:val="nil"/>
            </w:tcBorders>
          </w:tcPr>
          <w:p w14:paraId="15F51DF4" w14:textId="77777777" w:rsidR="005E6370" w:rsidRPr="0067047C" w:rsidRDefault="005E6370" w:rsidP="00416AB4">
            <w:pPr>
              <w:rPr>
                <w:sz w:val="24"/>
                <w:szCs w:val="24"/>
              </w:rPr>
            </w:pPr>
          </w:p>
        </w:tc>
      </w:tr>
      <w:tr w:rsidR="005E6370" w14:paraId="4DA92F6F" w14:textId="77777777" w:rsidTr="00416AB4">
        <w:tc>
          <w:tcPr>
            <w:tcW w:w="1077" w:type="pct"/>
            <w:gridSpan w:val="2"/>
            <w:shd w:val="clear" w:color="auto" w:fill="auto"/>
          </w:tcPr>
          <w:p w14:paraId="269A9F27" w14:textId="77777777" w:rsidR="005E6370" w:rsidRPr="00DB583C" w:rsidRDefault="005E6370" w:rsidP="00416AB4">
            <w:pPr>
              <w:rPr>
                <w:sz w:val="28"/>
                <w:szCs w:val="28"/>
              </w:rPr>
            </w:pPr>
            <w:r>
              <w:rPr>
                <w:i/>
                <w:sz w:val="28"/>
                <w:szCs w:val="28"/>
              </w:rPr>
              <w:t>July</w:t>
            </w:r>
          </w:p>
        </w:tc>
        <w:tc>
          <w:tcPr>
            <w:tcW w:w="3923" w:type="pct"/>
            <w:shd w:val="clear" w:color="auto" w:fill="auto"/>
          </w:tcPr>
          <w:p w14:paraId="14D86BB8" w14:textId="77777777" w:rsidR="005E6370" w:rsidRDefault="005E6370" w:rsidP="00416AB4">
            <w:pPr>
              <w:pStyle w:val="ListParagraph"/>
              <w:ind w:left="357"/>
              <w:rPr>
                <w:sz w:val="24"/>
                <w:szCs w:val="24"/>
              </w:rPr>
            </w:pPr>
          </w:p>
        </w:tc>
      </w:tr>
      <w:tr w:rsidR="005E6370" w:rsidRPr="007F392D" w14:paraId="57775193" w14:textId="77777777" w:rsidTr="00416AB4">
        <w:tc>
          <w:tcPr>
            <w:tcW w:w="1077" w:type="pct"/>
            <w:gridSpan w:val="2"/>
            <w:shd w:val="clear" w:color="auto" w:fill="auto"/>
          </w:tcPr>
          <w:p w14:paraId="6E8D9B00" w14:textId="77777777" w:rsidR="005E6370" w:rsidRDefault="005E6370" w:rsidP="00416AB4">
            <w:pPr>
              <w:rPr>
                <w:i/>
                <w:sz w:val="28"/>
                <w:szCs w:val="28"/>
              </w:rPr>
            </w:pPr>
            <w:r>
              <w:rPr>
                <w:i/>
                <w:sz w:val="28"/>
                <w:szCs w:val="28"/>
              </w:rPr>
              <w:t>August</w:t>
            </w:r>
          </w:p>
        </w:tc>
        <w:tc>
          <w:tcPr>
            <w:tcW w:w="3923" w:type="pct"/>
            <w:shd w:val="clear" w:color="auto" w:fill="auto"/>
          </w:tcPr>
          <w:p w14:paraId="49803B7F" w14:textId="77777777" w:rsidR="005E6370" w:rsidRPr="007F392D" w:rsidRDefault="005E6370" w:rsidP="00416AB4">
            <w:pPr>
              <w:rPr>
                <w:i/>
                <w:sz w:val="28"/>
                <w:szCs w:val="28"/>
              </w:rPr>
            </w:pPr>
          </w:p>
        </w:tc>
      </w:tr>
      <w:tr w:rsidR="005E6370" w:rsidRPr="007F392D" w14:paraId="5335A21B" w14:textId="77777777" w:rsidTr="00416AB4">
        <w:tc>
          <w:tcPr>
            <w:tcW w:w="1077" w:type="pct"/>
            <w:gridSpan w:val="2"/>
            <w:shd w:val="clear" w:color="auto" w:fill="auto"/>
          </w:tcPr>
          <w:p w14:paraId="17815776" w14:textId="77777777" w:rsidR="005E6370" w:rsidRPr="007F392D" w:rsidRDefault="005E6370" w:rsidP="00416AB4">
            <w:pPr>
              <w:rPr>
                <w:i/>
                <w:sz w:val="28"/>
                <w:szCs w:val="28"/>
              </w:rPr>
            </w:pPr>
            <w:r>
              <w:rPr>
                <w:i/>
                <w:sz w:val="28"/>
                <w:szCs w:val="28"/>
              </w:rPr>
              <w:t>September</w:t>
            </w:r>
          </w:p>
        </w:tc>
        <w:tc>
          <w:tcPr>
            <w:tcW w:w="3923" w:type="pct"/>
            <w:shd w:val="clear" w:color="auto" w:fill="auto"/>
          </w:tcPr>
          <w:p w14:paraId="58050249" w14:textId="77777777" w:rsidR="005E6370" w:rsidRPr="0020488A" w:rsidRDefault="005E6370" w:rsidP="00416AB4">
            <w:pPr>
              <w:pStyle w:val="ListParagraph"/>
              <w:numPr>
                <w:ilvl w:val="0"/>
                <w:numId w:val="24"/>
              </w:numPr>
              <w:rPr>
                <w:i/>
                <w:sz w:val="28"/>
                <w:szCs w:val="28"/>
              </w:rPr>
            </w:pPr>
            <w:r w:rsidRPr="0020488A">
              <w:rPr>
                <w:sz w:val="24"/>
                <w:szCs w:val="24"/>
              </w:rPr>
              <w:t>All STI indicators relating to GUMCAD and CTAD data update – to include revision of previously published data and new data point for the calendar year 201</w:t>
            </w:r>
            <w:r>
              <w:rPr>
                <w:sz w:val="24"/>
                <w:szCs w:val="24"/>
              </w:rPr>
              <w:t>9</w:t>
            </w:r>
            <w:r w:rsidRPr="0020488A">
              <w:rPr>
                <w:sz w:val="24"/>
                <w:szCs w:val="24"/>
              </w:rPr>
              <w:t>.</w:t>
            </w:r>
            <w:r>
              <w:rPr>
                <w:sz w:val="24"/>
                <w:szCs w:val="24"/>
              </w:rPr>
              <w:t xml:space="preserve"> </w:t>
            </w:r>
            <w:r w:rsidRPr="004937C1">
              <w:rPr>
                <w:sz w:val="24"/>
                <w:szCs w:val="24"/>
              </w:rPr>
              <w:t>STI data updated to recent local authority boundaries valid from April 2020.</w:t>
            </w:r>
          </w:p>
        </w:tc>
      </w:tr>
      <w:tr w:rsidR="005E6370" w:rsidRPr="00AF341C" w14:paraId="4ACD11E5" w14:textId="77777777" w:rsidTr="00416AB4">
        <w:tc>
          <w:tcPr>
            <w:tcW w:w="1077" w:type="pct"/>
            <w:gridSpan w:val="2"/>
            <w:shd w:val="clear" w:color="auto" w:fill="auto"/>
          </w:tcPr>
          <w:p w14:paraId="4B98BBC0" w14:textId="77777777" w:rsidR="005E6370" w:rsidRPr="007F392D" w:rsidRDefault="005E6370" w:rsidP="00416AB4">
            <w:pPr>
              <w:rPr>
                <w:i/>
                <w:sz w:val="28"/>
                <w:szCs w:val="28"/>
              </w:rPr>
            </w:pPr>
            <w:r>
              <w:rPr>
                <w:i/>
                <w:sz w:val="28"/>
                <w:szCs w:val="28"/>
              </w:rPr>
              <w:t>October</w:t>
            </w:r>
          </w:p>
        </w:tc>
        <w:tc>
          <w:tcPr>
            <w:tcW w:w="3923" w:type="pct"/>
            <w:shd w:val="clear" w:color="auto" w:fill="auto"/>
          </w:tcPr>
          <w:p w14:paraId="3D679BB4" w14:textId="77777777" w:rsidR="005E6370" w:rsidRPr="0067047C" w:rsidRDefault="005E6370" w:rsidP="00416AB4">
            <w:pPr>
              <w:rPr>
                <w:sz w:val="24"/>
                <w:szCs w:val="24"/>
              </w:rPr>
            </w:pPr>
          </w:p>
        </w:tc>
      </w:tr>
      <w:tr w:rsidR="005E6370" w:rsidRPr="00AF341C" w14:paraId="3A91B28D" w14:textId="77777777" w:rsidTr="00416AB4">
        <w:tc>
          <w:tcPr>
            <w:tcW w:w="1077" w:type="pct"/>
            <w:gridSpan w:val="2"/>
            <w:shd w:val="clear" w:color="auto" w:fill="auto"/>
          </w:tcPr>
          <w:p w14:paraId="38345F4D" w14:textId="77777777" w:rsidR="005E6370" w:rsidRDefault="005E6370" w:rsidP="00416AB4">
            <w:pPr>
              <w:rPr>
                <w:i/>
                <w:sz w:val="28"/>
                <w:szCs w:val="28"/>
              </w:rPr>
            </w:pPr>
            <w:r>
              <w:rPr>
                <w:i/>
                <w:sz w:val="28"/>
                <w:szCs w:val="28"/>
              </w:rPr>
              <w:t>November</w:t>
            </w:r>
          </w:p>
        </w:tc>
        <w:tc>
          <w:tcPr>
            <w:tcW w:w="3923" w:type="pct"/>
            <w:shd w:val="clear" w:color="auto" w:fill="auto"/>
          </w:tcPr>
          <w:p w14:paraId="4C38D008" w14:textId="77777777" w:rsidR="005E6370" w:rsidRPr="0067047C" w:rsidRDefault="005E6370" w:rsidP="00416AB4">
            <w:pPr>
              <w:rPr>
                <w:sz w:val="24"/>
                <w:szCs w:val="24"/>
              </w:rPr>
            </w:pPr>
          </w:p>
        </w:tc>
      </w:tr>
      <w:tr w:rsidR="005E6370" w:rsidRPr="00AF341C" w14:paraId="5DC8DBE6" w14:textId="77777777" w:rsidTr="00416AB4">
        <w:tc>
          <w:tcPr>
            <w:tcW w:w="1077" w:type="pct"/>
            <w:gridSpan w:val="2"/>
            <w:shd w:val="clear" w:color="auto" w:fill="auto"/>
          </w:tcPr>
          <w:p w14:paraId="027B976E" w14:textId="77777777" w:rsidR="005E6370" w:rsidRDefault="005E6370" w:rsidP="00416AB4">
            <w:pPr>
              <w:rPr>
                <w:i/>
                <w:sz w:val="28"/>
                <w:szCs w:val="28"/>
              </w:rPr>
            </w:pPr>
          </w:p>
        </w:tc>
        <w:tc>
          <w:tcPr>
            <w:tcW w:w="3923" w:type="pct"/>
            <w:shd w:val="clear" w:color="auto" w:fill="auto"/>
          </w:tcPr>
          <w:p w14:paraId="5A6D0005" w14:textId="77777777" w:rsidR="005E6370" w:rsidRDefault="005E6370" w:rsidP="00416AB4">
            <w:pPr>
              <w:pStyle w:val="ListParagraph"/>
              <w:numPr>
                <w:ilvl w:val="0"/>
                <w:numId w:val="15"/>
              </w:numPr>
              <w:rPr>
                <w:sz w:val="24"/>
                <w:szCs w:val="24"/>
              </w:rPr>
            </w:pPr>
            <w:r>
              <w:rPr>
                <w:sz w:val="24"/>
                <w:szCs w:val="24"/>
              </w:rPr>
              <w:t>Contraception indicators to be updated to 2019 (provisional)</w:t>
            </w:r>
          </w:p>
          <w:p w14:paraId="22A6AE57" w14:textId="77777777" w:rsidR="005E6370" w:rsidRDefault="005E6370" w:rsidP="00416AB4">
            <w:pPr>
              <w:pStyle w:val="ListParagraph"/>
              <w:numPr>
                <w:ilvl w:val="0"/>
                <w:numId w:val="15"/>
              </w:numPr>
              <w:rPr>
                <w:sz w:val="24"/>
                <w:szCs w:val="24"/>
              </w:rPr>
            </w:pPr>
            <w:r>
              <w:rPr>
                <w:sz w:val="24"/>
                <w:szCs w:val="24"/>
              </w:rPr>
              <w:t>Abortion indicators to be updated to 2019 (provisional)</w:t>
            </w:r>
          </w:p>
          <w:p w14:paraId="6F7B0702" w14:textId="77777777" w:rsidR="005E6370" w:rsidRPr="00C71597" w:rsidRDefault="005E6370" w:rsidP="00416AB4">
            <w:pPr>
              <w:pStyle w:val="ListParagraph"/>
              <w:numPr>
                <w:ilvl w:val="0"/>
                <w:numId w:val="15"/>
              </w:numPr>
              <w:rPr>
                <w:sz w:val="24"/>
                <w:szCs w:val="24"/>
              </w:rPr>
            </w:pPr>
            <w:r>
              <w:rPr>
                <w:sz w:val="24"/>
                <w:szCs w:val="24"/>
              </w:rPr>
              <w:t xml:space="preserve">All HIV indicators including HIV testing to be updated to include 2019 data </w:t>
            </w:r>
            <w:r w:rsidRPr="00165CA6">
              <w:rPr>
                <w:sz w:val="24"/>
                <w:szCs w:val="24"/>
              </w:rPr>
              <w:t xml:space="preserve">and revision of previously published data </w:t>
            </w:r>
            <w:r>
              <w:rPr>
                <w:sz w:val="24"/>
                <w:szCs w:val="24"/>
              </w:rPr>
              <w:t>(provisional)</w:t>
            </w:r>
          </w:p>
        </w:tc>
      </w:tr>
    </w:tbl>
    <w:p w14:paraId="7DA8F046" w14:textId="77777777" w:rsidR="005E6370" w:rsidRPr="00083EAB" w:rsidRDefault="005E6370" w:rsidP="0093349B">
      <w:pPr>
        <w:tabs>
          <w:tab w:val="left" w:pos="7309"/>
        </w:tabs>
        <w:spacing w:after="0"/>
        <w:rPr>
          <w:b/>
          <w:sz w:val="24"/>
          <w:szCs w:val="24"/>
        </w:rPr>
      </w:pPr>
    </w:p>
    <w:tbl>
      <w:tblPr>
        <w:tblStyle w:val="TableGrid"/>
        <w:tblW w:w="5000" w:type="pct"/>
        <w:tblBorders>
          <w:left w:val="none" w:sz="0" w:space="0" w:color="auto"/>
          <w:right w:val="none" w:sz="0" w:space="0" w:color="auto"/>
        </w:tblBorders>
        <w:tblLook w:val="04A0" w:firstRow="1" w:lastRow="0" w:firstColumn="1" w:lastColumn="0" w:noHBand="0" w:noVBand="1"/>
      </w:tblPr>
      <w:tblGrid>
        <w:gridCol w:w="2127"/>
        <w:gridCol w:w="10"/>
        <w:gridCol w:w="7784"/>
      </w:tblGrid>
      <w:tr w:rsidR="0067047C" w:rsidRPr="007F392D" w14:paraId="243FB04D" w14:textId="77777777" w:rsidTr="003A7F9F">
        <w:tc>
          <w:tcPr>
            <w:tcW w:w="1072" w:type="pct"/>
            <w:shd w:val="clear" w:color="auto" w:fill="92CDDC" w:themeFill="accent5" w:themeFillTint="99"/>
          </w:tcPr>
          <w:p w14:paraId="5516B8F2" w14:textId="77777777" w:rsidR="0067047C" w:rsidRPr="007F392D" w:rsidRDefault="0067047C" w:rsidP="003A7F9F">
            <w:pPr>
              <w:rPr>
                <w:i/>
                <w:sz w:val="28"/>
                <w:szCs w:val="28"/>
              </w:rPr>
            </w:pPr>
            <w:r>
              <w:rPr>
                <w:b/>
                <w:sz w:val="28"/>
                <w:szCs w:val="28"/>
              </w:rPr>
              <w:t>2019</w:t>
            </w:r>
          </w:p>
        </w:tc>
        <w:tc>
          <w:tcPr>
            <w:tcW w:w="3928" w:type="pct"/>
            <w:gridSpan w:val="2"/>
            <w:shd w:val="clear" w:color="auto" w:fill="92CDDC" w:themeFill="accent5" w:themeFillTint="99"/>
          </w:tcPr>
          <w:p w14:paraId="63C1FE25" w14:textId="77777777" w:rsidR="0067047C" w:rsidRPr="00770905" w:rsidRDefault="0067047C" w:rsidP="003A7F9F">
            <w:pPr>
              <w:pStyle w:val="ListParagraph"/>
              <w:ind w:left="360"/>
              <w:rPr>
                <w:i/>
                <w:sz w:val="28"/>
                <w:szCs w:val="28"/>
              </w:rPr>
            </w:pPr>
            <w:r>
              <w:rPr>
                <w:b/>
                <w:sz w:val="28"/>
                <w:szCs w:val="28"/>
              </w:rPr>
              <w:t>Updates</w:t>
            </w:r>
          </w:p>
        </w:tc>
      </w:tr>
      <w:tr w:rsidR="0067047C" w:rsidRPr="007F392D" w14:paraId="328CD198" w14:textId="77777777" w:rsidTr="003A7F9F">
        <w:tblPrEx>
          <w:tblBorders>
            <w:left w:val="single" w:sz="4" w:space="0" w:color="auto"/>
            <w:right w:val="single" w:sz="4" w:space="0" w:color="auto"/>
          </w:tblBorders>
        </w:tblPrEx>
        <w:tc>
          <w:tcPr>
            <w:tcW w:w="1072" w:type="pct"/>
            <w:tcBorders>
              <w:left w:val="nil"/>
              <w:bottom w:val="single" w:sz="4" w:space="0" w:color="auto"/>
            </w:tcBorders>
          </w:tcPr>
          <w:p w14:paraId="3A5B522A" w14:textId="77777777" w:rsidR="0067047C" w:rsidRDefault="0067047C" w:rsidP="003A7F9F">
            <w:pPr>
              <w:rPr>
                <w:i/>
                <w:sz w:val="28"/>
                <w:szCs w:val="28"/>
              </w:rPr>
            </w:pPr>
            <w:r>
              <w:rPr>
                <w:i/>
                <w:sz w:val="28"/>
                <w:szCs w:val="28"/>
              </w:rPr>
              <w:t>May</w:t>
            </w:r>
          </w:p>
        </w:tc>
        <w:tc>
          <w:tcPr>
            <w:tcW w:w="3928" w:type="pct"/>
            <w:gridSpan w:val="2"/>
            <w:tcBorders>
              <w:bottom w:val="single" w:sz="4" w:space="0" w:color="auto"/>
              <w:right w:val="nil"/>
            </w:tcBorders>
          </w:tcPr>
          <w:p w14:paraId="5C6BE714" w14:textId="77777777" w:rsidR="0067047C" w:rsidRPr="00CF6E95" w:rsidRDefault="0067047C" w:rsidP="003A7F9F">
            <w:pPr>
              <w:pStyle w:val="ListParagraph"/>
              <w:ind w:left="360"/>
              <w:rPr>
                <w:sz w:val="24"/>
                <w:szCs w:val="24"/>
              </w:rPr>
            </w:pPr>
          </w:p>
        </w:tc>
      </w:tr>
      <w:tr w:rsidR="0067047C" w:rsidRPr="007F392D" w14:paraId="040B8CA1" w14:textId="77777777" w:rsidTr="003A7F9F">
        <w:tblPrEx>
          <w:tblBorders>
            <w:left w:val="single" w:sz="4" w:space="0" w:color="auto"/>
            <w:right w:val="single" w:sz="4" w:space="0" w:color="auto"/>
          </w:tblBorders>
        </w:tblPrEx>
        <w:tc>
          <w:tcPr>
            <w:tcW w:w="1072" w:type="pct"/>
            <w:tcBorders>
              <w:left w:val="nil"/>
              <w:bottom w:val="single" w:sz="4" w:space="0" w:color="auto"/>
            </w:tcBorders>
          </w:tcPr>
          <w:p w14:paraId="5F517A33" w14:textId="77777777" w:rsidR="0067047C" w:rsidRDefault="0067047C" w:rsidP="003A7F9F">
            <w:pPr>
              <w:rPr>
                <w:i/>
                <w:sz w:val="28"/>
                <w:szCs w:val="28"/>
              </w:rPr>
            </w:pPr>
          </w:p>
        </w:tc>
        <w:tc>
          <w:tcPr>
            <w:tcW w:w="3928" w:type="pct"/>
            <w:gridSpan w:val="2"/>
            <w:tcBorders>
              <w:bottom w:val="single" w:sz="4" w:space="0" w:color="auto"/>
              <w:right w:val="nil"/>
            </w:tcBorders>
          </w:tcPr>
          <w:p w14:paraId="53C9E964" w14:textId="77777777" w:rsidR="0067047C" w:rsidRPr="00C71597" w:rsidRDefault="0067047C" w:rsidP="003A7F9F">
            <w:pPr>
              <w:pStyle w:val="ListParagraph"/>
              <w:numPr>
                <w:ilvl w:val="0"/>
                <w:numId w:val="15"/>
              </w:numPr>
              <w:rPr>
                <w:sz w:val="24"/>
                <w:szCs w:val="24"/>
              </w:rPr>
            </w:pPr>
            <w:r>
              <w:rPr>
                <w:sz w:val="24"/>
                <w:szCs w:val="24"/>
              </w:rPr>
              <w:t xml:space="preserve">Teenage conception indicators updated to 2017 </w:t>
            </w:r>
          </w:p>
        </w:tc>
      </w:tr>
      <w:tr w:rsidR="0067047C" w:rsidRPr="00770905" w14:paraId="6B863AAF" w14:textId="77777777" w:rsidTr="003A7F9F">
        <w:tblPrEx>
          <w:tblBorders>
            <w:left w:val="single" w:sz="4" w:space="0" w:color="auto"/>
            <w:right w:val="single" w:sz="4" w:space="0" w:color="auto"/>
          </w:tblBorders>
        </w:tblPrEx>
        <w:tc>
          <w:tcPr>
            <w:tcW w:w="1072" w:type="pct"/>
            <w:tcBorders>
              <w:left w:val="nil"/>
            </w:tcBorders>
          </w:tcPr>
          <w:p w14:paraId="4A1EB429" w14:textId="77777777" w:rsidR="0067047C" w:rsidRDefault="0067047C" w:rsidP="003A7F9F">
            <w:pPr>
              <w:rPr>
                <w:i/>
                <w:sz w:val="28"/>
                <w:szCs w:val="28"/>
              </w:rPr>
            </w:pPr>
            <w:r>
              <w:rPr>
                <w:i/>
                <w:sz w:val="28"/>
                <w:szCs w:val="28"/>
              </w:rPr>
              <w:t>June</w:t>
            </w:r>
          </w:p>
        </w:tc>
        <w:tc>
          <w:tcPr>
            <w:tcW w:w="3928" w:type="pct"/>
            <w:gridSpan w:val="2"/>
            <w:tcBorders>
              <w:right w:val="nil"/>
            </w:tcBorders>
          </w:tcPr>
          <w:p w14:paraId="16F2612A" w14:textId="77777777" w:rsidR="0067047C" w:rsidRDefault="0067047C" w:rsidP="003A7F9F">
            <w:pPr>
              <w:pStyle w:val="ListParagraph"/>
              <w:ind w:left="357"/>
              <w:rPr>
                <w:sz w:val="24"/>
                <w:szCs w:val="24"/>
              </w:rPr>
            </w:pPr>
          </w:p>
        </w:tc>
      </w:tr>
      <w:tr w:rsidR="0067047C" w:rsidRPr="00770905" w14:paraId="03A7F005" w14:textId="77777777" w:rsidTr="003A7F9F">
        <w:tblPrEx>
          <w:tblBorders>
            <w:left w:val="single" w:sz="4" w:space="0" w:color="auto"/>
            <w:right w:val="single" w:sz="4" w:space="0" w:color="auto"/>
          </w:tblBorders>
        </w:tblPrEx>
        <w:tc>
          <w:tcPr>
            <w:tcW w:w="1072" w:type="pct"/>
            <w:tcBorders>
              <w:left w:val="nil"/>
            </w:tcBorders>
          </w:tcPr>
          <w:p w14:paraId="17862EC8" w14:textId="77777777" w:rsidR="0067047C" w:rsidRDefault="0067047C" w:rsidP="003A7F9F">
            <w:pPr>
              <w:rPr>
                <w:i/>
                <w:sz w:val="28"/>
                <w:szCs w:val="28"/>
              </w:rPr>
            </w:pPr>
          </w:p>
        </w:tc>
        <w:tc>
          <w:tcPr>
            <w:tcW w:w="3928" w:type="pct"/>
            <w:gridSpan w:val="2"/>
            <w:tcBorders>
              <w:right w:val="nil"/>
            </w:tcBorders>
          </w:tcPr>
          <w:p w14:paraId="11BD7504" w14:textId="77777777" w:rsidR="0067047C" w:rsidRDefault="0067047C" w:rsidP="003A7F9F">
            <w:pPr>
              <w:pStyle w:val="ListParagraph"/>
              <w:numPr>
                <w:ilvl w:val="0"/>
                <w:numId w:val="15"/>
              </w:numPr>
              <w:rPr>
                <w:sz w:val="24"/>
                <w:szCs w:val="24"/>
              </w:rPr>
            </w:pPr>
            <w:r w:rsidRPr="00C61772">
              <w:rPr>
                <w:sz w:val="24"/>
                <w:szCs w:val="24"/>
              </w:rPr>
              <w:t>Under 18s conceptions leading to abortion (%) updated to 2017</w:t>
            </w:r>
          </w:p>
          <w:p w14:paraId="2C3EE36F" w14:textId="77777777" w:rsidR="0067047C" w:rsidRPr="004B7B48" w:rsidRDefault="0067047C" w:rsidP="003A7F9F">
            <w:pPr>
              <w:pStyle w:val="ListParagraph"/>
              <w:numPr>
                <w:ilvl w:val="0"/>
                <w:numId w:val="15"/>
              </w:numPr>
              <w:rPr>
                <w:sz w:val="24"/>
                <w:szCs w:val="24"/>
              </w:rPr>
            </w:pPr>
            <w:r w:rsidRPr="004B7B48">
              <w:rPr>
                <w:sz w:val="24"/>
                <w:szCs w:val="24"/>
              </w:rPr>
              <w:t xml:space="preserve">All STI and HIV testing indicators relating to GUMCAD and CTAD data update – to include revision of previously published data and new data </w:t>
            </w:r>
            <w:r w:rsidR="0020488A">
              <w:rPr>
                <w:sz w:val="24"/>
                <w:szCs w:val="24"/>
              </w:rPr>
              <w:t>point for the calendar year 2018</w:t>
            </w:r>
            <w:r w:rsidRPr="004B7B48">
              <w:rPr>
                <w:sz w:val="24"/>
                <w:szCs w:val="24"/>
              </w:rPr>
              <w:t>.</w:t>
            </w:r>
          </w:p>
        </w:tc>
      </w:tr>
      <w:tr w:rsidR="0067047C" w14:paraId="7786A2E7" w14:textId="77777777" w:rsidTr="0020488A">
        <w:tc>
          <w:tcPr>
            <w:tcW w:w="1077" w:type="pct"/>
            <w:gridSpan w:val="2"/>
            <w:shd w:val="clear" w:color="auto" w:fill="auto"/>
          </w:tcPr>
          <w:p w14:paraId="5CAFA95C" w14:textId="77777777" w:rsidR="0067047C" w:rsidRPr="00DB583C" w:rsidRDefault="0067047C" w:rsidP="003A7F9F">
            <w:pPr>
              <w:rPr>
                <w:sz w:val="28"/>
                <w:szCs w:val="28"/>
              </w:rPr>
            </w:pPr>
            <w:r>
              <w:rPr>
                <w:i/>
                <w:sz w:val="28"/>
                <w:szCs w:val="28"/>
              </w:rPr>
              <w:t>July</w:t>
            </w:r>
          </w:p>
        </w:tc>
        <w:tc>
          <w:tcPr>
            <w:tcW w:w="3923" w:type="pct"/>
            <w:shd w:val="clear" w:color="auto" w:fill="auto"/>
          </w:tcPr>
          <w:p w14:paraId="5A011B71" w14:textId="77777777" w:rsidR="0067047C" w:rsidRDefault="0067047C" w:rsidP="003A7F9F">
            <w:pPr>
              <w:pStyle w:val="ListParagraph"/>
              <w:ind w:left="357"/>
              <w:rPr>
                <w:sz w:val="24"/>
                <w:szCs w:val="24"/>
              </w:rPr>
            </w:pPr>
          </w:p>
        </w:tc>
      </w:tr>
      <w:tr w:rsidR="0067047C" w:rsidRPr="007F392D" w14:paraId="183940BC" w14:textId="77777777" w:rsidTr="0020488A">
        <w:tc>
          <w:tcPr>
            <w:tcW w:w="1077" w:type="pct"/>
            <w:gridSpan w:val="2"/>
            <w:shd w:val="clear" w:color="auto" w:fill="auto"/>
          </w:tcPr>
          <w:p w14:paraId="0324647E" w14:textId="77777777" w:rsidR="0067047C" w:rsidRDefault="0067047C" w:rsidP="003A7F9F">
            <w:pPr>
              <w:rPr>
                <w:i/>
                <w:sz w:val="28"/>
                <w:szCs w:val="28"/>
              </w:rPr>
            </w:pPr>
            <w:r>
              <w:rPr>
                <w:i/>
                <w:sz w:val="28"/>
                <w:szCs w:val="28"/>
              </w:rPr>
              <w:t>August</w:t>
            </w:r>
          </w:p>
        </w:tc>
        <w:tc>
          <w:tcPr>
            <w:tcW w:w="3923" w:type="pct"/>
            <w:shd w:val="clear" w:color="auto" w:fill="auto"/>
          </w:tcPr>
          <w:p w14:paraId="262FF0E5" w14:textId="77777777" w:rsidR="0067047C" w:rsidRPr="007F392D" w:rsidRDefault="0067047C" w:rsidP="003A7F9F">
            <w:pPr>
              <w:rPr>
                <w:i/>
                <w:sz w:val="28"/>
                <w:szCs w:val="28"/>
              </w:rPr>
            </w:pPr>
          </w:p>
        </w:tc>
      </w:tr>
      <w:tr w:rsidR="0067047C" w:rsidRPr="007F392D" w14:paraId="3ED14805" w14:textId="77777777" w:rsidTr="0020488A">
        <w:tc>
          <w:tcPr>
            <w:tcW w:w="1077" w:type="pct"/>
            <w:gridSpan w:val="2"/>
            <w:shd w:val="clear" w:color="auto" w:fill="auto"/>
          </w:tcPr>
          <w:p w14:paraId="677537F9" w14:textId="77777777" w:rsidR="0067047C" w:rsidRPr="007F392D" w:rsidRDefault="0067047C" w:rsidP="003A7F9F">
            <w:pPr>
              <w:rPr>
                <w:i/>
                <w:sz w:val="28"/>
                <w:szCs w:val="28"/>
              </w:rPr>
            </w:pPr>
            <w:r>
              <w:rPr>
                <w:i/>
                <w:sz w:val="28"/>
                <w:szCs w:val="28"/>
              </w:rPr>
              <w:t>September</w:t>
            </w:r>
          </w:p>
        </w:tc>
        <w:tc>
          <w:tcPr>
            <w:tcW w:w="3923" w:type="pct"/>
            <w:shd w:val="clear" w:color="auto" w:fill="auto"/>
          </w:tcPr>
          <w:p w14:paraId="16F136D5" w14:textId="77777777" w:rsidR="0067047C" w:rsidRPr="007F392D" w:rsidRDefault="0067047C" w:rsidP="003A7F9F">
            <w:pPr>
              <w:rPr>
                <w:i/>
                <w:sz w:val="28"/>
                <w:szCs w:val="28"/>
              </w:rPr>
            </w:pPr>
          </w:p>
        </w:tc>
      </w:tr>
      <w:tr w:rsidR="0067047C" w:rsidRPr="00AF341C" w14:paraId="3891D9A9" w14:textId="77777777" w:rsidTr="0020488A">
        <w:tc>
          <w:tcPr>
            <w:tcW w:w="1077" w:type="pct"/>
            <w:gridSpan w:val="2"/>
            <w:shd w:val="clear" w:color="auto" w:fill="auto"/>
          </w:tcPr>
          <w:p w14:paraId="7DC4BBF5" w14:textId="77777777" w:rsidR="0067047C" w:rsidRPr="007F392D" w:rsidRDefault="0067047C" w:rsidP="003A7F9F">
            <w:pPr>
              <w:rPr>
                <w:i/>
                <w:sz w:val="28"/>
                <w:szCs w:val="28"/>
              </w:rPr>
            </w:pPr>
          </w:p>
        </w:tc>
        <w:tc>
          <w:tcPr>
            <w:tcW w:w="3923" w:type="pct"/>
            <w:shd w:val="clear" w:color="auto" w:fill="auto"/>
          </w:tcPr>
          <w:p w14:paraId="7F6BA587" w14:textId="77777777" w:rsidR="0067047C" w:rsidRPr="00AF341C" w:rsidRDefault="0067047C" w:rsidP="003A7F9F">
            <w:pPr>
              <w:numPr>
                <w:ilvl w:val="0"/>
                <w:numId w:val="1"/>
              </w:numPr>
              <w:rPr>
                <w:sz w:val="24"/>
                <w:szCs w:val="24"/>
              </w:rPr>
            </w:pPr>
            <w:r w:rsidRPr="004B7B48">
              <w:rPr>
                <w:sz w:val="24"/>
                <w:szCs w:val="24"/>
              </w:rPr>
              <w:t>All HIV indicators have been updated to include 2018 data and revision of previously published data to reflect clinic/laboratory resubmissions and improvements to data cleaning. Therefore, data may differ from previous publications.</w:t>
            </w:r>
          </w:p>
          <w:p w14:paraId="5FBA323D" w14:textId="77777777" w:rsidR="0067047C" w:rsidRDefault="0067047C" w:rsidP="003A7F9F">
            <w:pPr>
              <w:rPr>
                <w:sz w:val="24"/>
                <w:szCs w:val="24"/>
              </w:rPr>
            </w:pPr>
          </w:p>
          <w:p w14:paraId="0526344B" w14:textId="77777777" w:rsidR="0067047C" w:rsidRPr="004B7B48" w:rsidRDefault="0067047C" w:rsidP="003A7F9F">
            <w:pPr>
              <w:rPr>
                <w:sz w:val="24"/>
                <w:szCs w:val="24"/>
              </w:rPr>
            </w:pPr>
            <w:r w:rsidRPr="004B7B48">
              <w:rPr>
                <w:sz w:val="24"/>
                <w:szCs w:val="24"/>
              </w:rPr>
              <w:t>New HIV indicators have been added:</w:t>
            </w:r>
          </w:p>
          <w:p w14:paraId="25B0C477" w14:textId="77777777" w:rsidR="0067047C" w:rsidRPr="004B7B48" w:rsidRDefault="0067047C" w:rsidP="003A7F9F">
            <w:pPr>
              <w:rPr>
                <w:sz w:val="24"/>
                <w:szCs w:val="24"/>
              </w:rPr>
            </w:pPr>
          </w:p>
          <w:p w14:paraId="096DCAF2" w14:textId="77777777" w:rsidR="0067047C" w:rsidRPr="004B7B48" w:rsidRDefault="0067047C" w:rsidP="003A7F9F">
            <w:pPr>
              <w:pStyle w:val="ListParagraph"/>
              <w:numPr>
                <w:ilvl w:val="0"/>
                <w:numId w:val="1"/>
              </w:numPr>
              <w:rPr>
                <w:sz w:val="24"/>
                <w:szCs w:val="24"/>
              </w:rPr>
            </w:pPr>
            <w:r w:rsidRPr="004B7B48">
              <w:rPr>
                <w:sz w:val="24"/>
                <w:szCs w:val="24"/>
              </w:rPr>
              <w:t>HIV late diagnosis (%) by 4 separate risk groups (MSM, heterosexual men, heterosexual women and people who inject drugs)</w:t>
            </w:r>
          </w:p>
          <w:p w14:paraId="540F64DA" w14:textId="77777777" w:rsidR="0067047C" w:rsidRPr="004B7B48" w:rsidRDefault="0067047C" w:rsidP="003A7F9F">
            <w:pPr>
              <w:pStyle w:val="ListParagraph"/>
              <w:numPr>
                <w:ilvl w:val="0"/>
                <w:numId w:val="1"/>
              </w:numPr>
              <w:rPr>
                <w:sz w:val="24"/>
                <w:szCs w:val="24"/>
              </w:rPr>
            </w:pPr>
            <w:r w:rsidRPr="004B7B48">
              <w:rPr>
                <w:sz w:val="24"/>
                <w:szCs w:val="24"/>
              </w:rPr>
              <w:t>Prompt ART initiation in people newly diagnosed with HIV (%)</w:t>
            </w:r>
          </w:p>
          <w:p w14:paraId="6D9CEF36" w14:textId="77777777" w:rsidR="0067047C" w:rsidRPr="004B7B48" w:rsidRDefault="0067047C" w:rsidP="003A7F9F">
            <w:pPr>
              <w:pStyle w:val="ListParagraph"/>
              <w:numPr>
                <w:ilvl w:val="0"/>
                <w:numId w:val="1"/>
              </w:numPr>
              <w:rPr>
                <w:sz w:val="24"/>
                <w:szCs w:val="24"/>
              </w:rPr>
            </w:pPr>
            <w:r w:rsidRPr="004B7B48">
              <w:rPr>
                <w:sz w:val="24"/>
                <w:szCs w:val="24"/>
              </w:rPr>
              <w:t>Virological success in adults accessing HIV care (%)</w:t>
            </w:r>
          </w:p>
        </w:tc>
      </w:tr>
      <w:tr w:rsidR="0067047C" w:rsidRPr="00AF341C" w14:paraId="3CD9F70D" w14:textId="77777777" w:rsidTr="0020488A">
        <w:tc>
          <w:tcPr>
            <w:tcW w:w="1077" w:type="pct"/>
            <w:gridSpan w:val="2"/>
            <w:shd w:val="clear" w:color="auto" w:fill="auto"/>
          </w:tcPr>
          <w:p w14:paraId="4E5809BA" w14:textId="77777777" w:rsidR="0067047C" w:rsidRPr="007F392D" w:rsidRDefault="0067047C" w:rsidP="003A7F9F">
            <w:pPr>
              <w:rPr>
                <w:i/>
                <w:sz w:val="28"/>
                <w:szCs w:val="28"/>
              </w:rPr>
            </w:pPr>
            <w:r>
              <w:rPr>
                <w:i/>
                <w:sz w:val="28"/>
                <w:szCs w:val="28"/>
              </w:rPr>
              <w:t>October</w:t>
            </w:r>
          </w:p>
        </w:tc>
        <w:tc>
          <w:tcPr>
            <w:tcW w:w="3923" w:type="pct"/>
            <w:shd w:val="clear" w:color="auto" w:fill="auto"/>
          </w:tcPr>
          <w:p w14:paraId="2279FC8A" w14:textId="77777777" w:rsidR="0067047C" w:rsidRPr="004B7B48" w:rsidRDefault="0067047C" w:rsidP="0067047C">
            <w:pPr>
              <w:rPr>
                <w:sz w:val="24"/>
                <w:szCs w:val="24"/>
              </w:rPr>
            </w:pPr>
          </w:p>
        </w:tc>
      </w:tr>
      <w:tr w:rsidR="0067047C" w:rsidRPr="00AF341C" w14:paraId="0F343933" w14:textId="77777777" w:rsidTr="0020488A">
        <w:tc>
          <w:tcPr>
            <w:tcW w:w="1077" w:type="pct"/>
            <w:gridSpan w:val="2"/>
            <w:shd w:val="clear" w:color="auto" w:fill="auto"/>
          </w:tcPr>
          <w:p w14:paraId="10E77B0D" w14:textId="77777777" w:rsidR="0067047C" w:rsidRDefault="0067047C" w:rsidP="003A7F9F">
            <w:pPr>
              <w:rPr>
                <w:i/>
                <w:sz w:val="28"/>
                <w:szCs w:val="28"/>
              </w:rPr>
            </w:pPr>
            <w:r>
              <w:rPr>
                <w:i/>
                <w:sz w:val="28"/>
                <w:szCs w:val="28"/>
              </w:rPr>
              <w:t>November</w:t>
            </w:r>
          </w:p>
        </w:tc>
        <w:tc>
          <w:tcPr>
            <w:tcW w:w="3923" w:type="pct"/>
            <w:shd w:val="clear" w:color="auto" w:fill="auto"/>
          </w:tcPr>
          <w:p w14:paraId="1B686696" w14:textId="77777777" w:rsidR="0067047C" w:rsidRPr="004B7B48" w:rsidRDefault="0067047C" w:rsidP="0067047C">
            <w:pPr>
              <w:rPr>
                <w:sz w:val="24"/>
                <w:szCs w:val="24"/>
              </w:rPr>
            </w:pPr>
          </w:p>
        </w:tc>
      </w:tr>
      <w:tr w:rsidR="0067047C" w:rsidRPr="00AF341C" w14:paraId="53DAEB96" w14:textId="77777777" w:rsidTr="0020488A">
        <w:tc>
          <w:tcPr>
            <w:tcW w:w="1077" w:type="pct"/>
            <w:gridSpan w:val="2"/>
            <w:shd w:val="clear" w:color="auto" w:fill="auto"/>
          </w:tcPr>
          <w:p w14:paraId="61830F8D" w14:textId="77777777" w:rsidR="0067047C" w:rsidRDefault="0067047C" w:rsidP="0067047C">
            <w:pPr>
              <w:rPr>
                <w:i/>
                <w:sz w:val="28"/>
                <w:szCs w:val="28"/>
              </w:rPr>
            </w:pPr>
          </w:p>
        </w:tc>
        <w:tc>
          <w:tcPr>
            <w:tcW w:w="3923" w:type="pct"/>
            <w:shd w:val="clear" w:color="auto" w:fill="auto"/>
          </w:tcPr>
          <w:p w14:paraId="7BF86CA2" w14:textId="77777777" w:rsidR="0067047C" w:rsidRDefault="0067047C" w:rsidP="0067047C">
            <w:pPr>
              <w:pStyle w:val="ListParagraph"/>
              <w:numPr>
                <w:ilvl w:val="0"/>
                <w:numId w:val="15"/>
              </w:numPr>
              <w:rPr>
                <w:sz w:val="24"/>
                <w:szCs w:val="24"/>
              </w:rPr>
            </w:pPr>
            <w:r>
              <w:rPr>
                <w:sz w:val="24"/>
                <w:szCs w:val="24"/>
              </w:rPr>
              <w:t>Contraception indicators updated to 2018</w:t>
            </w:r>
          </w:p>
          <w:p w14:paraId="046C8FF2" w14:textId="77777777" w:rsidR="0067047C" w:rsidRPr="00C71597" w:rsidRDefault="0067047C" w:rsidP="0067047C">
            <w:pPr>
              <w:pStyle w:val="ListParagraph"/>
              <w:numPr>
                <w:ilvl w:val="0"/>
                <w:numId w:val="15"/>
              </w:numPr>
              <w:rPr>
                <w:sz w:val="24"/>
                <w:szCs w:val="24"/>
              </w:rPr>
            </w:pPr>
            <w:r>
              <w:rPr>
                <w:sz w:val="24"/>
                <w:szCs w:val="24"/>
              </w:rPr>
              <w:t xml:space="preserve">Abortions indicators updated to 2018 </w:t>
            </w:r>
          </w:p>
        </w:tc>
      </w:tr>
    </w:tbl>
    <w:p w14:paraId="108CCDEF" w14:textId="77777777" w:rsidR="0067047C" w:rsidRPr="00083EAB" w:rsidRDefault="0067047C" w:rsidP="000A2768">
      <w:pPr>
        <w:spacing w:after="0"/>
        <w:rPr>
          <w:sz w:val="24"/>
          <w:szCs w:val="24"/>
        </w:rPr>
      </w:pPr>
    </w:p>
    <w:tbl>
      <w:tblPr>
        <w:tblStyle w:val="TableGrid"/>
        <w:tblW w:w="5000" w:type="pct"/>
        <w:tblBorders>
          <w:left w:val="none" w:sz="0" w:space="0" w:color="auto"/>
          <w:right w:val="none" w:sz="0" w:space="0" w:color="auto"/>
        </w:tblBorders>
        <w:tblLook w:val="04A0" w:firstRow="1" w:lastRow="0" w:firstColumn="1" w:lastColumn="0" w:noHBand="0" w:noVBand="1"/>
      </w:tblPr>
      <w:tblGrid>
        <w:gridCol w:w="2127"/>
        <w:gridCol w:w="10"/>
        <w:gridCol w:w="7784"/>
      </w:tblGrid>
      <w:tr w:rsidR="000A2768" w:rsidRPr="007F392D" w14:paraId="72E95C3D" w14:textId="77777777" w:rsidTr="00830E60">
        <w:tc>
          <w:tcPr>
            <w:tcW w:w="1072" w:type="pct"/>
            <w:shd w:val="clear" w:color="auto" w:fill="92CDDC" w:themeFill="accent5" w:themeFillTint="99"/>
          </w:tcPr>
          <w:p w14:paraId="04C507A5" w14:textId="77777777" w:rsidR="000A2768" w:rsidRPr="007F392D" w:rsidRDefault="000A2768" w:rsidP="00830E60">
            <w:pPr>
              <w:rPr>
                <w:i/>
                <w:sz w:val="28"/>
                <w:szCs w:val="28"/>
              </w:rPr>
            </w:pPr>
            <w:r>
              <w:rPr>
                <w:b/>
                <w:sz w:val="28"/>
                <w:szCs w:val="28"/>
              </w:rPr>
              <w:t>2018</w:t>
            </w:r>
          </w:p>
        </w:tc>
        <w:tc>
          <w:tcPr>
            <w:tcW w:w="3928" w:type="pct"/>
            <w:gridSpan w:val="2"/>
            <w:shd w:val="clear" w:color="auto" w:fill="92CDDC" w:themeFill="accent5" w:themeFillTint="99"/>
          </w:tcPr>
          <w:p w14:paraId="15C2F2CD" w14:textId="77777777" w:rsidR="000A2768" w:rsidRPr="00770905" w:rsidRDefault="000A2768" w:rsidP="00830E60">
            <w:pPr>
              <w:pStyle w:val="ListParagraph"/>
              <w:ind w:left="360"/>
              <w:rPr>
                <w:i/>
                <w:sz w:val="28"/>
                <w:szCs w:val="28"/>
              </w:rPr>
            </w:pPr>
            <w:r>
              <w:rPr>
                <w:b/>
                <w:sz w:val="28"/>
                <w:szCs w:val="28"/>
              </w:rPr>
              <w:t>Updates</w:t>
            </w:r>
          </w:p>
        </w:tc>
      </w:tr>
      <w:tr w:rsidR="000A2768" w:rsidRPr="007F392D" w14:paraId="303AD232" w14:textId="77777777" w:rsidTr="00830E60">
        <w:tc>
          <w:tcPr>
            <w:tcW w:w="1072" w:type="pct"/>
            <w:tcBorders>
              <w:bottom w:val="single" w:sz="4" w:space="0" w:color="auto"/>
            </w:tcBorders>
            <w:shd w:val="clear" w:color="auto" w:fill="auto"/>
          </w:tcPr>
          <w:p w14:paraId="7D849215" w14:textId="77777777" w:rsidR="000A2768" w:rsidRDefault="000A2768" w:rsidP="00830E60">
            <w:pPr>
              <w:rPr>
                <w:i/>
                <w:sz w:val="28"/>
                <w:szCs w:val="28"/>
              </w:rPr>
            </w:pPr>
            <w:r>
              <w:rPr>
                <w:i/>
                <w:sz w:val="28"/>
                <w:szCs w:val="28"/>
              </w:rPr>
              <w:t>March</w:t>
            </w:r>
          </w:p>
        </w:tc>
        <w:tc>
          <w:tcPr>
            <w:tcW w:w="3928" w:type="pct"/>
            <w:gridSpan w:val="2"/>
            <w:tcBorders>
              <w:bottom w:val="single" w:sz="4" w:space="0" w:color="auto"/>
            </w:tcBorders>
            <w:shd w:val="clear" w:color="auto" w:fill="auto"/>
          </w:tcPr>
          <w:p w14:paraId="61E52EA1" w14:textId="77777777" w:rsidR="000A2768" w:rsidRPr="007F392D" w:rsidRDefault="000A2768" w:rsidP="00830E60">
            <w:pPr>
              <w:rPr>
                <w:i/>
                <w:sz w:val="28"/>
                <w:szCs w:val="28"/>
              </w:rPr>
            </w:pPr>
          </w:p>
        </w:tc>
      </w:tr>
      <w:tr w:rsidR="000A2768" w:rsidRPr="007F392D" w14:paraId="6D19C643" w14:textId="77777777" w:rsidTr="00830E60">
        <w:tc>
          <w:tcPr>
            <w:tcW w:w="1072" w:type="pct"/>
            <w:tcBorders>
              <w:bottom w:val="single" w:sz="4" w:space="0" w:color="auto"/>
            </w:tcBorders>
            <w:shd w:val="clear" w:color="auto" w:fill="auto"/>
          </w:tcPr>
          <w:p w14:paraId="5B9E9DBB" w14:textId="77777777" w:rsidR="000A2768" w:rsidRDefault="000A2768" w:rsidP="00830E60">
            <w:pPr>
              <w:rPr>
                <w:i/>
                <w:sz w:val="28"/>
                <w:szCs w:val="28"/>
              </w:rPr>
            </w:pPr>
          </w:p>
        </w:tc>
        <w:tc>
          <w:tcPr>
            <w:tcW w:w="3928" w:type="pct"/>
            <w:gridSpan w:val="2"/>
            <w:tcBorders>
              <w:bottom w:val="single" w:sz="4" w:space="0" w:color="auto"/>
            </w:tcBorders>
            <w:shd w:val="clear" w:color="auto" w:fill="auto"/>
          </w:tcPr>
          <w:p w14:paraId="6F15F967" w14:textId="77777777" w:rsidR="000A2768" w:rsidRDefault="000A2768" w:rsidP="00830E60">
            <w:pPr>
              <w:pStyle w:val="ListParagraph"/>
              <w:numPr>
                <w:ilvl w:val="0"/>
                <w:numId w:val="15"/>
              </w:numPr>
              <w:rPr>
                <w:sz w:val="24"/>
                <w:szCs w:val="24"/>
              </w:rPr>
            </w:pPr>
            <w:r w:rsidRPr="00CF6E95">
              <w:rPr>
                <w:sz w:val="24"/>
                <w:szCs w:val="24"/>
              </w:rPr>
              <w:t>Pelvic inflammatory disease admissions rate updated to 2016/17</w:t>
            </w:r>
            <w:r>
              <w:rPr>
                <w:sz w:val="24"/>
                <w:szCs w:val="24"/>
              </w:rPr>
              <w:t>.</w:t>
            </w:r>
          </w:p>
          <w:p w14:paraId="390DE8E4" w14:textId="77777777" w:rsidR="000A2768" w:rsidRPr="00CF6E95" w:rsidRDefault="000A2768" w:rsidP="00830E60">
            <w:pPr>
              <w:pStyle w:val="ListParagraph"/>
              <w:numPr>
                <w:ilvl w:val="0"/>
                <w:numId w:val="15"/>
              </w:numPr>
              <w:rPr>
                <w:sz w:val="24"/>
                <w:szCs w:val="24"/>
              </w:rPr>
            </w:pPr>
            <w:r>
              <w:rPr>
                <w:sz w:val="24"/>
                <w:szCs w:val="24"/>
              </w:rPr>
              <w:t>E</w:t>
            </w:r>
            <w:r w:rsidRPr="00CF6E95">
              <w:rPr>
                <w:sz w:val="24"/>
                <w:szCs w:val="24"/>
              </w:rPr>
              <w:t>ctopic pregnancy admissions rate indicators updated to 2016/17.</w:t>
            </w:r>
          </w:p>
          <w:p w14:paraId="65AC520F" w14:textId="77777777" w:rsidR="000A2768" w:rsidRDefault="000A2768" w:rsidP="00830E60">
            <w:pPr>
              <w:pStyle w:val="ListParagraph"/>
              <w:numPr>
                <w:ilvl w:val="0"/>
                <w:numId w:val="15"/>
              </w:numPr>
              <w:rPr>
                <w:sz w:val="24"/>
                <w:szCs w:val="24"/>
              </w:rPr>
            </w:pPr>
            <w:r w:rsidRPr="00CF6E95">
              <w:rPr>
                <w:sz w:val="24"/>
                <w:szCs w:val="24"/>
              </w:rPr>
              <w:t>A new indicator 'Under 25s individuals attend specialist contraceptive services</w:t>
            </w:r>
            <w:r>
              <w:rPr>
                <w:sz w:val="24"/>
                <w:szCs w:val="24"/>
              </w:rPr>
              <w:t xml:space="preserve"> rate', has been added for 2014, 2015 and </w:t>
            </w:r>
            <w:r w:rsidRPr="00CF6E95">
              <w:rPr>
                <w:sz w:val="24"/>
                <w:szCs w:val="24"/>
              </w:rPr>
              <w:t>2016 for males and females separately.</w:t>
            </w:r>
          </w:p>
          <w:p w14:paraId="1ED5047C" w14:textId="77777777" w:rsidR="000A2768" w:rsidRPr="00B64015" w:rsidRDefault="000A2768" w:rsidP="00830E60">
            <w:pPr>
              <w:pStyle w:val="ListParagraph"/>
              <w:numPr>
                <w:ilvl w:val="0"/>
                <w:numId w:val="15"/>
              </w:numPr>
              <w:rPr>
                <w:sz w:val="24"/>
                <w:szCs w:val="24"/>
              </w:rPr>
            </w:pPr>
            <w:r w:rsidRPr="0019355E">
              <w:rPr>
                <w:sz w:val="24"/>
                <w:szCs w:val="24"/>
              </w:rPr>
              <w:t>Infectious diseases in pregnancy screening – HIV coverage (PHOF indicator 2.20vii</w:t>
            </w:r>
            <w:r>
              <w:rPr>
                <w:sz w:val="24"/>
                <w:szCs w:val="24"/>
              </w:rPr>
              <w:t>, region level only</w:t>
            </w:r>
            <w:r w:rsidRPr="0019355E">
              <w:rPr>
                <w:sz w:val="24"/>
                <w:szCs w:val="24"/>
              </w:rPr>
              <w:t>) updated to 2016/17.</w:t>
            </w:r>
          </w:p>
        </w:tc>
      </w:tr>
      <w:tr w:rsidR="000A2768" w:rsidRPr="007F392D" w14:paraId="6A295493" w14:textId="77777777" w:rsidTr="00830E60">
        <w:tc>
          <w:tcPr>
            <w:tcW w:w="1072" w:type="pct"/>
            <w:tcBorders>
              <w:bottom w:val="single" w:sz="4" w:space="0" w:color="auto"/>
            </w:tcBorders>
            <w:shd w:val="clear" w:color="auto" w:fill="auto"/>
          </w:tcPr>
          <w:p w14:paraId="10D7E18B" w14:textId="77777777" w:rsidR="000A2768" w:rsidRDefault="000A2768" w:rsidP="00830E60">
            <w:pPr>
              <w:rPr>
                <w:i/>
                <w:sz w:val="28"/>
                <w:szCs w:val="28"/>
              </w:rPr>
            </w:pPr>
            <w:r>
              <w:rPr>
                <w:i/>
                <w:sz w:val="28"/>
                <w:szCs w:val="28"/>
              </w:rPr>
              <w:t>April</w:t>
            </w:r>
          </w:p>
        </w:tc>
        <w:tc>
          <w:tcPr>
            <w:tcW w:w="3928" w:type="pct"/>
            <w:gridSpan w:val="2"/>
            <w:tcBorders>
              <w:bottom w:val="single" w:sz="4" w:space="0" w:color="auto"/>
            </w:tcBorders>
            <w:shd w:val="clear" w:color="auto" w:fill="auto"/>
          </w:tcPr>
          <w:p w14:paraId="44F445DF" w14:textId="77777777" w:rsidR="000A2768" w:rsidRPr="00CF6E95" w:rsidRDefault="000A2768" w:rsidP="00830E60">
            <w:pPr>
              <w:pStyle w:val="ListParagraph"/>
              <w:ind w:left="360"/>
              <w:rPr>
                <w:sz w:val="24"/>
                <w:szCs w:val="24"/>
              </w:rPr>
            </w:pPr>
          </w:p>
        </w:tc>
      </w:tr>
      <w:tr w:rsidR="000A2768" w:rsidRPr="007F392D" w14:paraId="660E1690" w14:textId="77777777" w:rsidTr="00830E60">
        <w:tc>
          <w:tcPr>
            <w:tcW w:w="1072" w:type="pct"/>
            <w:tcBorders>
              <w:bottom w:val="single" w:sz="4" w:space="0" w:color="auto"/>
            </w:tcBorders>
            <w:shd w:val="clear" w:color="auto" w:fill="auto"/>
          </w:tcPr>
          <w:p w14:paraId="4E9E8011" w14:textId="77777777" w:rsidR="000A2768" w:rsidRDefault="000A2768" w:rsidP="00830E60">
            <w:pPr>
              <w:rPr>
                <w:i/>
                <w:sz w:val="28"/>
                <w:szCs w:val="28"/>
              </w:rPr>
            </w:pPr>
          </w:p>
        </w:tc>
        <w:tc>
          <w:tcPr>
            <w:tcW w:w="3928" w:type="pct"/>
            <w:gridSpan w:val="2"/>
            <w:tcBorders>
              <w:bottom w:val="single" w:sz="4" w:space="0" w:color="auto"/>
            </w:tcBorders>
            <w:shd w:val="clear" w:color="auto" w:fill="auto"/>
          </w:tcPr>
          <w:p w14:paraId="31A3DEE6" w14:textId="77777777" w:rsidR="000A2768" w:rsidRPr="001D3221" w:rsidRDefault="000A2768" w:rsidP="00830E60">
            <w:pPr>
              <w:pStyle w:val="ListParagraph"/>
              <w:numPr>
                <w:ilvl w:val="0"/>
                <w:numId w:val="15"/>
              </w:numPr>
              <w:rPr>
                <w:sz w:val="24"/>
                <w:szCs w:val="24"/>
              </w:rPr>
            </w:pPr>
            <w:r w:rsidRPr="001D3221">
              <w:rPr>
                <w:sz w:val="24"/>
                <w:szCs w:val="24"/>
              </w:rPr>
              <w:t>Population vaccination coverage - HPV vaccination coverage for one dose (females 12-13 years old)</w:t>
            </w:r>
            <w:r>
              <w:rPr>
                <w:sz w:val="24"/>
                <w:szCs w:val="24"/>
              </w:rPr>
              <w:t xml:space="preserve"> </w:t>
            </w:r>
            <w:r w:rsidRPr="00F54D6E">
              <w:rPr>
                <w:sz w:val="24"/>
                <w:szCs w:val="24"/>
              </w:rPr>
              <w:t>(PHOF indi</w:t>
            </w:r>
            <w:r>
              <w:rPr>
                <w:sz w:val="24"/>
                <w:szCs w:val="24"/>
              </w:rPr>
              <w:t xml:space="preserve">cator 3.03xii) updated </w:t>
            </w:r>
            <w:r w:rsidRPr="001D3221">
              <w:rPr>
                <w:sz w:val="24"/>
                <w:szCs w:val="24"/>
              </w:rPr>
              <w:t>to 2016/17</w:t>
            </w:r>
          </w:p>
          <w:p w14:paraId="76AAE568" w14:textId="77777777" w:rsidR="000A2768" w:rsidRPr="001D3221" w:rsidRDefault="000A2768" w:rsidP="00830E60">
            <w:pPr>
              <w:pStyle w:val="ListParagraph"/>
              <w:numPr>
                <w:ilvl w:val="0"/>
                <w:numId w:val="15"/>
              </w:numPr>
              <w:rPr>
                <w:sz w:val="24"/>
                <w:szCs w:val="24"/>
              </w:rPr>
            </w:pPr>
            <w:r w:rsidRPr="001D3221">
              <w:rPr>
                <w:sz w:val="24"/>
                <w:szCs w:val="24"/>
              </w:rPr>
              <w:t>Sexual offences rate / 1,000 (PHOF indicator 1.12iii</w:t>
            </w:r>
            <w:r>
              <w:rPr>
                <w:sz w:val="24"/>
                <w:szCs w:val="24"/>
              </w:rPr>
              <w:t>) updated</w:t>
            </w:r>
            <w:r w:rsidRPr="001D3221">
              <w:rPr>
                <w:sz w:val="24"/>
                <w:szCs w:val="24"/>
              </w:rPr>
              <w:t xml:space="preserve"> to 2016/17</w:t>
            </w:r>
          </w:p>
          <w:p w14:paraId="152FCE68" w14:textId="77777777" w:rsidR="000A2768" w:rsidRPr="00091D72" w:rsidRDefault="000A2768" w:rsidP="00830E60">
            <w:pPr>
              <w:pStyle w:val="ListParagraph"/>
              <w:numPr>
                <w:ilvl w:val="0"/>
                <w:numId w:val="15"/>
              </w:numPr>
              <w:rPr>
                <w:sz w:val="24"/>
                <w:szCs w:val="24"/>
              </w:rPr>
            </w:pPr>
            <w:r w:rsidRPr="001D3221">
              <w:rPr>
                <w:sz w:val="24"/>
                <w:szCs w:val="24"/>
              </w:rPr>
              <w:t xml:space="preserve">Under 18s admission episodes for alcohol-specific conditions </w:t>
            </w:r>
            <w:r>
              <w:rPr>
                <w:sz w:val="24"/>
                <w:szCs w:val="24"/>
              </w:rPr>
              <w:t xml:space="preserve">updated </w:t>
            </w:r>
            <w:r w:rsidRPr="001D3221">
              <w:rPr>
                <w:sz w:val="24"/>
                <w:szCs w:val="24"/>
              </w:rPr>
              <w:t>to 2014/15 - 16/17</w:t>
            </w:r>
            <w:r>
              <w:rPr>
                <w:sz w:val="24"/>
                <w:szCs w:val="24"/>
              </w:rPr>
              <w:t xml:space="preserve"> (three years pooled).</w:t>
            </w:r>
          </w:p>
        </w:tc>
      </w:tr>
      <w:tr w:rsidR="000A2768" w:rsidRPr="007F392D" w14:paraId="39B1105E" w14:textId="77777777" w:rsidTr="00830E60">
        <w:tblPrEx>
          <w:tblBorders>
            <w:left w:val="single" w:sz="4" w:space="0" w:color="auto"/>
            <w:right w:val="single" w:sz="4" w:space="0" w:color="auto"/>
          </w:tblBorders>
        </w:tblPrEx>
        <w:tc>
          <w:tcPr>
            <w:tcW w:w="1072" w:type="pct"/>
            <w:tcBorders>
              <w:left w:val="nil"/>
              <w:bottom w:val="single" w:sz="4" w:space="0" w:color="auto"/>
            </w:tcBorders>
          </w:tcPr>
          <w:p w14:paraId="458487A6" w14:textId="77777777" w:rsidR="000A2768" w:rsidRDefault="000A2768" w:rsidP="00830E60">
            <w:pPr>
              <w:rPr>
                <w:i/>
                <w:sz w:val="28"/>
                <w:szCs w:val="28"/>
              </w:rPr>
            </w:pPr>
            <w:r>
              <w:rPr>
                <w:i/>
                <w:sz w:val="28"/>
                <w:szCs w:val="28"/>
              </w:rPr>
              <w:t>May</w:t>
            </w:r>
          </w:p>
        </w:tc>
        <w:tc>
          <w:tcPr>
            <w:tcW w:w="3928" w:type="pct"/>
            <w:gridSpan w:val="2"/>
            <w:tcBorders>
              <w:bottom w:val="single" w:sz="4" w:space="0" w:color="auto"/>
              <w:right w:val="nil"/>
            </w:tcBorders>
          </w:tcPr>
          <w:p w14:paraId="0854D662" w14:textId="77777777" w:rsidR="000A2768" w:rsidRPr="00CF6E95" w:rsidRDefault="000A2768" w:rsidP="00830E60">
            <w:pPr>
              <w:pStyle w:val="ListParagraph"/>
              <w:ind w:left="360"/>
              <w:rPr>
                <w:sz w:val="24"/>
                <w:szCs w:val="24"/>
              </w:rPr>
            </w:pPr>
          </w:p>
        </w:tc>
      </w:tr>
      <w:tr w:rsidR="000A2768" w:rsidRPr="007F392D" w14:paraId="44A3C0BD" w14:textId="77777777" w:rsidTr="00830E60">
        <w:tblPrEx>
          <w:tblBorders>
            <w:left w:val="single" w:sz="4" w:space="0" w:color="auto"/>
            <w:right w:val="single" w:sz="4" w:space="0" w:color="auto"/>
          </w:tblBorders>
        </w:tblPrEx>
        <w:tc>
          <w:tcPr>
            <w:tcW w:w="1072" w:type="pct"/>
            <w:tcBorders>
              <w:left w:val="nil"/>
            </w:tcBorders>
          </w:tcPr>
          <w:p w14:paraId="58CDCAC7" w14:textId="77777777" w:rsidR="000A2768" w:rsidRDefault="000A2768" w:rsidP="00830E60">
            <w:pPr>
              <w:rPr>
                <w:i/>
                <w:sz w:val="28"/>
                <w:szCs w:val="28"/>
              </w:rPr>
            </w:pPr>
          </w:p>
        </w:tc>
        <w:tc>
          <w:tcPr>
            <w:tcW w:w="3928" w:type="pct"/>
            <w:gridSpan w:val="2"/>
            <w:tcBorders>
              <w:right w:val="nil"/>
            </w:tcBorders>
          </w:tcPr>
          <w:p w14:paraId="69E90BF5" w14:textId="77777777" w:rsidR="000A2768" w:rsidRDefault="000A2768" w:rsidP="00830E60">
            <w:pPr>
              <w:pStyle w:val="ListParagraph"/>
              <w:numPr>
                <w:ilvl w:val="0"/>
                <w:numId w:val="15"/>
              </w:numPr>
              <w:rPr>
                <w:sz w:val="24"/>
                <w:szCs w:val="24"/>
              </w:rPr>
            </w:pPr>
            <w:r>
              <w:rPr>
                <w:sz w:val="24"/>
                <w:szCs w:val="24"/>
              </w:rPr>
              <w:t xml:space="preserve">Teenage conception indicators updated to 2016 </w:t>
            </w:r>
            <w:r w:rsidRPr="00A837B0">
              <w:rPr>
                <w:sz w:val="24"/>
                <w:szCs w:val="24"/>
              </w:rPr>
              <w:t>and include revision of data from 2012-2015 to incorporate revisions to population estimates</w:t>
            </w:r>
          </w:p>
          <w:p w14:paraId="2C7CA3C6" w14:textId="77777777" w:rsidR="000A2768" w:rsidRPr="00CF6E95" w:rsidRDefault="000A2768" w:rsidP="00830E60">
            <w:pPr>
              <w:pStyle w:val="ListParagraph"/>
              <w:numPr>
                <w:ilvl w:val="0"/>
                <w:numId w:val="15"/>
              </w:numPr>
              <w:rPr>
                <w:sz w:val="24"/>
                <w:szCs w:val="24"/>
              </w:rPr>
            </w:pPr>
            <w:r w:rsidRPr="001D3221">
              <w:rPr>
                <w:sz w:val="24"/>
                <w:szCs w:val="24"/>
              </w:rPr>
              <w:t>Under 16s in poverty</w:t>
            </w:r>
            <w:r>
              <w:rPr>
                <w:sz w:val="24"/>
                <w:szCs w:val="24"/>
              </w:rPr>
              <w:t xml:space="preserve"> (%) (PHOF indicator 1.01ii) updated to </w:t>
            </w:r>
            <w:r w:rsidRPr="001D3221">
              <w:rPr>
                <w:sz w:val="24"/>
                <w:szCs w:val="24"/>
              </w:rPr>
              <w:t>2015</w:t>
            </w:r>
          </w:p>
        </w:tc>
      </w:tr>
      <w:tr w:rsidR="000A2768" w:rsidRPr="00770905" w14:paraId="1A056E32" w14:textId="77777777" w:rsidTr="0020488A">
        <w:tc>
          <w:tcPr>
            <w:tcW w:w="1077" w:type="pct"/>
            <w:gridSpan w:val="2"/>
            <w:shd w:val="clear" w:color="auto" w:fill="auto"/>
          </w:tcPr>
          <w:p w14:paraId="5925FC62" w14:textId="77777777" w:rsidR="000A2768" w:rsidRDefault="000A2768" w:rsidP="00830E60">
            <w:pPr>
              <w:rPr>
                <w:i/>
                <w:sz w:val="28"/>
                <w:szCs w:val="28"/>
              </w:rPr>
            </w:pPr>
            <w:r>
              <w:rPr>
                <w:i/>
                <w:sz w:val="28"/>
                <w:szCs w:val="28"/>
              </w:rPr>
              <w:t>June</w:t>
            </w:r>
          </w:p>
        </w:tc>
        <w:tc>
          <w:tcPr>
            <w:tcW w:w="3923" w:type="pct"/>
            <w:shd w:val="clear" w:color="auto" w:fill="auto"/>
          </w:tcPr>
          <w:p w14:paraId="215020C2" w14:textId="77777777" w:rsidR="000A2768" w:rsidRDefault="000A2768" w:rsidP="00830E60">
            <w:pPr>
              <w:pStyle w:val="ListParagraph"/>
              <w:ind w:left="357"/>
              <w:rPr>
                <w:sz w:val="24"/>
                <w:szCs w:val="24"/>
              </w:rPr>
            </w:pPr>
          </w:p>
        </w:tc>
      </w:tr>
      <w:tr w:rsidR="000A2768" w:rsidRPr="00770905" w14:paraId="4709076B" w14:textId="77777777" w:rsidTr="0020488A">
        <w:tc>
          <w:tcPr>
            <w:tcW w:w="1077" w:type="pct"/>
            <w:gridSpan w:val="2"/>
            <w:shd w:val="clear" w:color="auto" w:fill="auto"/>
          </w:tcPr>
          <w:p w14:paraId="5D614516" w14:textId="77777777" w:rsidR="000A2768" w:rsidRDefault="000A2768" w:rsidP="00830E60">
            <w:pPr>
              <w:rPr>
                <w:i/>
                <w:sz w:val="28"/>
                <w:szCs w:val="28"/>
              </w:rPr>
            </w:pPr>
          </w:p>
        </w:tc>
        <w:tc>
          <w:tcPr>
            <w:tcW w:w="3923" w:type="pct"/>
            <w:shd w:val="clear" w:color="auto" w:fill="auto"/>
          </w:tcPr>
          <w:p w14:paraId="77A43D6C" w14:textId="77777777" w:rsidR="000A2768" w:rsidRDefault="000A2768" w:rsidP="00830E60">
            <w:pPr>
              <w:pStyle w:val="ListParagraph"/>
              <w:numPr>
                <w:ilvl w:val="0"/>
                <w:numId w:val="19"/>
              </w:numPr>
              <w:rPr>
                <w:sz w:val="24"/>
                <w:szCs w:val="24"/>
              </w:rPr>
            </w:pPr>
            <w:r>
              <w:rPr>
                <w:sz w:val="24"/>
                <w:szCs w:val="24"/>
              </w:rPr>
              <w:t>A</w:t>
            </w:r>
            <w:r w:rsidRPr="00C970C7">
              <w:rPr>
                <w:sz w:val="24"/>
                <w:szCs w:val="24"/>
              </w:rPr>
              <w:t>ll STI and HIV testing indicators relating to GUMCAD and CTAD data update – to include revision of previously published data and new data point for the calendar year 201</w:t>
            </w:r>
            <w:r>
              <w:rPr>
                <w:sz w:val="24"/>
                <w:szCs w:val="24"/>
              </w:rPr>
              <w:t>7</w:t>
            </w:r>
            <w:r w:rsidRPr="00C970C7">
              <w:rPr>
                <w:sz w:val="24"/>
                <w:szCs w:val="24"/>
              </w:rPr>
              <w:t>.</w:t>
            </w:r>
          </w:p>
          <w:p w14:paraId="72D54FAB" w14:textId="77777777" w:rsidR="000A2768" w:rsidRDefault="000A2768" w:rsidP="00830E60">
            <w:pPr>
              <w:pStyle w:val="ListParagraph"/>
              <w:numPr>
                <w:ilvl w:val="0"/>
                <w:numId w:val="19"/>
              </w:numPr>
              <w:rPr>
                <w:sz w:val="24"/>
                <w:szCs w:val="24"/>
              </w:rPr>
            </w:pPr>
            <w:r>
              <w:rPr>
                <w:sz w:val="24"/>
                <w:szCs w:val="24"/>
              </w:rPr>
              <w:t>Under 18 births rate/1,000 updated to 2016</w:t>
            </w:r>
            <w:r w:rsidRPr="00A837B0">
              <w:rPr>
                <w:sz w:val="24"/>
                <w:szCs w:val="24"/>
              </w:rPr>
              <w:t xml:space="preserve"> and includes revision of data from 2012-2015 to incorporate revisions to population estimates</w:t>
            </w:r>
          </w:p>
          <w:p w14:paraId="7C5E41A3" w14:textId="77777777" w:rsidR="000A2768" w:rsidRPr="005F20B5" w:rsidRDefault="000A2768" w:rsidP="00830E60">
            <w:pPr>
              <w:pStyle w:val="ListParagraph"/>
              <w:numPr>
                <w:ilvl w:val="0"/>
                <w:numId w:val="19"/>
              </w:numPr>
              <w:rPr>
                <w:sz w:val="24"/>
                <w:szCs w:val="24"/>
              </w:rPr>
            </w:pPr>
            <w:r>
              <w:rPr>
                <w:sz w:val="24"/>
                <w:szCs w:val="24"/>
              </w:rPr>
              <w:t>Under 18 births (%) renamed to Teenage mothers (data unaffected)</w:t>
            </w:r>
          </w:p>
        </w:tc>
      </w:tr>
      <w:tr w:rsidR="000A2768" w:rsidRPr="00770905" w14:paraId="4E08E978" w14:textId="77777777" w:rsidTr="0020488A">
        <w:tc>
          <w:tcPr>
            <w:tcW w:w="1077" w:type="pct"/>
            <w:gridSpan w:val="2"/>
            <w:shd w:val="clear" w:color="auto" w:fill="auto"/>
          </w:tcPr>
          <w:p w14:paraId="406E81CB" w14:textId="77777777" w:rsidR="000A2768" w:rsidRPr="00DB583C" w:rsidRDefault="000A2768" w:rsidP="00830E60">
            <w:pPr>
              <w:rPr>
                <w:sz w:val="28"/>
                <w:szCs w:val="28"/>
              </w:rPr>
            </w:pPr>
            <w:bookmarkStart w:id="4" w:name="_Hlk18402635"/>
            <w:r>
              <w:rPr>
                <w:i/>
                <w:sz w:val="28"/>
                <w:szCs w:val="28"/>
              </w:rPr>
              <w:t>July</w:t>
            </w:r>
          </w:p>
        </w:tc>
        <w:tc>
          <w:tcPr>
            <w:tcW w:w="3923" w:type="pct"/>
            <w:shd w:val="clear" w:color="auto" w:fill="auto"/>
          </w:tcPr>
          <w:p w14:paraId="6A760E21" w14:textId="77777777" w:rsidR="000A2768" w:rsidRDefault="000A2768" w:rsidP="00830E60">
            <w:pPr>
              <w:pStyle w:val="ListParagraph"/>
              <w:ind w:left="357"/>
              <w:rPr>
                <w:sz w:val="24"/>
                <w:szCs w:val="24"/>
              </w:rPr>
            </w:pPr>
          </w:p>
        </w:tc>
      </w:tr>
      <w:tr w:rsidR="000A2768" w:rsidRPr="00770905" w14:paraId="4C435EBA" w14:textId="77777777" w:rsidTr="0020488A">
        <w:tc>
          <w:tcPr>
            <w:tcW w:w="1077" w:type="pct"/>
            <w:gridSpan w:val="2"/>
            <w:shd w:val="clear" w:color="auto" w:fill="auto"/>
          </w:tcPr>
          <w:p w14:paraId="46F1867F" w14:textId="77777777" w:rsidR="000A2768" w:rsidRPr="00DB583C" w:rsidRDefault="000A2768" w:rsidP="00830E60">
            <w:pPr>
              <w:rPr>
                <w:sz w:val="28"/>
                <w:szCs w:val="28"/>
              </w:rPr>
            </w:pPr>
          </w:p>
        </w:tc>
        <w:tc>
          <w:tcPr>
            <w:tcW w:w="3923" w:type="pct"/>
            <w:shd w:val="clear" w:color="auto" w:fill="auto"/>
          </w:tcPr>
          <w:p w14:paraId="3AC1912D" w14:textId="77777777" w:rsidR="000A2768" w:rsidRDefault="000A2768" w:rsidP="00830E60">
            <w:pPr>
              <w:pStyle w:val="ListParagraph"/>
              <w:numPr>
                <w:ilvl w:val="0"/>
                <w:numId w:val="4"/>
              </w:numPr>
              <w:ind w:left="357" w:hanging="357"/>
              <w:rPr>
                <w:sz w:val="24"/>
                <w:szCs w:val="24"/>
              </w:rPr>
            </w:pPr>
            <w:r w:rsidRPr="000946DE">
              <w:rPr>
                <w:sz w:val="24"/>
                <w:szCs w:val="24"/>
              </w:rPr>
              <w:t>Pelvic inflammatory disease admissions</w:t>
            </w:r>
            <w:r>
              <w:rPr>
                <w:sz w:val="24"/>
                <w:szCs w:val="24"/>
              </w:rPr>
              <w:t xml:space="preserve"> indicator update to 2015/16 </w:t>
            </w:r>
          </w:p>
          <w:p w14:paraId="2EEB396D" w14:textId="77777777" w:rsidR="000A2768" w:rsidRDefault="000A2768" w:rsidP="00830E60">
            <w:pPr>
              <w:pStyle w:val="ListParagraph"/>
              <w:numPr>
                <w:ilvl w:val="0"/>
                <w:numId w:val="4"/>
              </w:numPr>
              <w:ind w:left="357" w:hanging="357"/>
              <w:rPr>
                <w:sz w:val="24"/>
                <w:szCs w:val="24"/>
              </w:rPr>
            </w:pPr>
            <w:r w:rsidRPr="007950BD">
              <w:rPr>
                <w:sz w:val="24"/>
                <w:szCs w:val="24"/>
              </w:rPr>
              <w:t>Ectopic pregnancy adm</w:t>
            </w:r>
            <w:r>
              <w:rPr>
                <w:sz w:val="24"/>
                <w:szCs w:val="24"/>
              </w:rPr>
              <w:t>ission indicator update to 2015/16</w:t>
            </w:r>
          </w:p>
          <w:p w14:paraId="1106C86B" w14:textId="77777777" w:rsidR="000A2768" w:rsidRPr="00DE244C" w:rsidRDefault="000A2768" w:rsidP="00830E60">
            <w:pPr>
              <w:pStyle w:val="ListParagraph"/>
              <w:numPr>
                <w:ilvl w:val="0"/>
                <w:numId w:val="4"/>
              </w:numPr>
              <w:ind w:left="357" w:hanging="357"/>
              <w:rPr>
                <w:sz w:val="24"/>
                <w:szCs w:val="24"/>
              </w:rPr>
            </w:pPr>
            <w:r>
              <w:rPr>
                <w:sz w:val="24"/>
                <w:szCs w:val="24"/>
              </w:rPr>
              <w:t xml:space="preserve">England totals 2008/09 to 2014/15 also revised for these 2 indicators to include admissions </w:t>
            </w:r>
            <w:proofErr w:type="gramStart"/>
            <w:r>
              <w:rPr>
                <w:sz w:val="24"/>
                <w:szCs w:val="24"/>
              </w:rPr>
              <w:t>not assigned</w:t>
            </w:r>
            <w:proofErr w:type="gramEnd"/>
            <w:r>
              <w:rPr>
                <w:sz w:val="24"/>
                <w:szCs w:val="24"/>
              </w:rPr>
              <w:t xml:space="preserve"> an area of residence</w:t>
            </w:r>
          </w:p>
        </w:tc>
      </w:tr>
      <w:tr w:rsidR="000A2768" w:rsidRPr="00770905" w14:paraId="63E33A21" w14:textId="77777777" w:rsidTr="0020488A">
        <w:tc>
          <w:tcPr>
            <w:tcW w:w="1077" w:type="pct"/>
            <w:gridSpan w:val="2"/>
            <w:shd w:val="clear" w:color="auto" w:fill="auto"/>
          </w:tcPr>
          <w:p w14:paraId="4F95E5B4" w14:textId="77777777" w:rsidR="000A2768" w:rsidRDefault="000A2768" w:rsidP="00830E60">
            <w:pPr>
              <w:rPr>
                <w:i/>
                <w:sz w:val="28"/>
                <w:szCs w:val="28"/>
              </w:rPr>
            </w:pPr>
            <w:r>
              <w:rPr>
                <w:i/>
                <w:sz w:val="28"/>
                <w:szCs w:val="28"/>
              </w:rPr>
              <w:t>August</w:t>
            </w:r>
          </w:p>
        </w:tc>
        <w:tc>
          <w:tcPr>
            <w:tcW w:w="3923" w:type="pct"/>
            <w:shd w:val="clear" w:color="auto" w:fill="auto"/>
          </w:tcPr>
          <w:p w14:paraId="449A05F4" w14:textId="77777777" w:rsidR="000A2768" w:rsidRPr="007F392D" w:rsidRDefault="000A2768" w:rsidP="00830E60">
            <w:pPr>
              <w:rPr>
                <w:i/>
                <w:sz w:val="28"/>
                <w:szCs w:val="28"/>
              </w:rPr>
            </w:pPr>
          </w:p>
        </w:tc>
      </w:tr>
      <w:tr w:rsidR="000A2768" w:rsidRPr="00770905" w14:paraId="47D1A58F" w14:textId="77777777" w:rsidTr="0020488A">
        <w:tc>
          <w:tcPr>
            <w:tcW w:w="1077" w:type="pct"/>
            <w:gridSpan w:val="2"/>
            <w:shd w:val="clear" w:color="auto" w:fill="auto"/>
          </w:tcPr>
          <w:p w14:paraId="1F39F1B0" w14:textId="77777777" w:rsidR="000A2768" w:rsidRDefault="000A2768" w:rsidP="00830E60">
            <w:pPr>
              <w:rPr>
                <w:i/>
                <w:sz w:val="28"/>
                <w:szCs w:val="28"/>
              </w:rPr>
            </w:pPr>
          </w:p>
        </w:tc>
        <w:tc>
          <w:tcPr>
            <w:tcW w:w="3923" w:type="pct"/>
            <w:shd w:val="clear" w:color="auto" w:fill="auto"/>
          </w:tcPr>
          <w:p w14:paraId="0CF99D6B" w14:textId="77777777" w:rsidR="000A2768" w:rsidRDefault="000A2768" w:rsidP="00830E60">
            <w:pPr>
              <w:numPr>
                <w:ilvl w:val="0"/>
                <w:numId w:val="1"/>
              </w:numPr>
              <w:rPr>
                <w:sz w:val="24"/>
                <w:szCs w:val="24"/>
              </w:rPr>
            </w:pPr>
            <w:r w:rsidRPr="00D07BE4">
              <w:rPr>
                <w:sz w:val="24"/>
                <w:szCs w:val="24"/>
              </w:rPr>
              <w:t>Abortion indicators update to 201</w:t>
            </w:r>
            <w:r>
              <w:rPr>
                <w:sz w:val="24"/>
                <w:szCs w:val="24"/>
              </w:rPr>
              <w:t>7,</w:t>
            </w:r>
            <w:r w:rsidRPr="00D07BE4">
              <w:rPr>
                <w:sz w:val="24"/>
                <w:szCs w:val="24"/>
              </w:rPr>
              <w:t xml:space="preserve"> </w:t>
            </w:r>
            <w:r w:rsidRPr="00A837B0">
              <w:rPr>
                <w:sz w:val="24"/>
                <w:szCs w:val="24"/>
              </w:rPr>
              <w:t>and includes revision of data from 2012-201</w:t>
            </w:r>
            <w:r>
              <w:rPr>
                <w:sz w:val="24"/>
                <w:szCs w:val="24"/>
              </w:rPr>
              <w:t>6</w:t>
            </w:r>
            <w:r w:rsidRPr="00A837B0">
              <w:rPr>
                <w:sz w:val="24"/>
                <w:szCs w:val="24"/>
              </w:rPr>
              <w:t xml:space="preserve"> to incorporate revisions to population estimates</w:t>
            </w:r>
            <w:r w:rsidRPr="005E11EB">
              <w:rPr>
                <w:sz w:val="24"/>
                <w:szCs w:val="24"/>
              </w:rPr>
              <w:t xml:space="preserve"> </w:t>
            </w:r>
          </w:p>
          <w:p w14:paraId="5F18D95A" w14:textId="77777777" w:rsidR="000A2768" w:rsidRDefault="000A2768" w:rsidP="00830E60">
            <w:pPr>
              <w:rPr>
                <w:sz w:val="24"/>
                <w:szCs w:val="24"/>
              </w:rPr>
            </w:pPr>
            <w:r>
              <w:rPr>
                <w:sz w:val="28"/>
                <w:szCs w:val="28"/>
              </w:rPr>
              <w:t xml:space="preserve">•   </w:t>
            </w:r>
            <w:r>
              <w:rPr>
                <w:sz w:val="24"/>
                <w:szCs w:val="24"/>
              </w:rPr>
              <w:t>Pupil absence indicator update to 2016/17</w:t>
            </w:r>
          </w:p>
          <w:p w14:paraId="57573679" w14:textId="77777777" w:rsidR="000A2768" w:rsidRPr="005E11EB" w:rsidRDefault="000A2768" w:rsidP="00830E60">
            <w:pPr>
              <w:numPr>
                <w:ilvl w:val="0"/>
                <w:numId w:val="1"/>
              </w:numPr>
              <w:rPr>
                <w:sz w:val="24"/>
                <w:szCs w:val="24"/>
              </w:rPr>
            </w:pPr>
            <w:r>
              <w:rPr>
                <w:sz w:val="24"/>
                <w:szCs w:val="24"/>
              </w:rPr>
              <w:t>First time entrants to youth justice system indicator update to 2017</w:t>
            </w:r>
          </w:p>
        </w:tc>
      </w:tr>
      <w:tr w:rsidR="000A2768" w:rsidRPr="00770905" w14:paraId="565DCC6B" w14:textId="77777777" w:rsidTr="0020488A">
        <w:tc>
          <w:tcPr>
            <w:tcW w:w="1077" w:type="pct"/>
            <w:gridSpan w:val="2"/>
            <w:shd w:val="clear" w:color="auto" w:fill="auto"/>
          </w:tcPr>
          <w:p w14:paraId="50C9447A" w14:textId="77777777" w:rsidR="000A2768" w:rsidRPr="007F392D" w:rsidRDefault="000A2768" w:rsidP="00830E60">
            <w:pPr>
              <w:rPr>
                <w:i/>
                <w:sz w:val="28"/>
                <w:szCs w:val="28"/>
              </w:rPr>
            </w:pPr>
            <w:r>
              <w:rPr>
                <w:i/>
                <w:sz w:val="28"/>
                <w:szCs w:val="28"/>
              </w:rPr>
              <w:t>September</w:t>
            </w:r>
          </w:p>
        </w:tc>
        <w:tc>
          <w:tcPr>
            <w:tcW w:w="3923" w:type="pct"/>
            <w:shd w:val="clear" w:color="auto" w:fill="auto"/>
          </w:tcPr>
          <w:p w14:paraId="5454DAE1" w14:textId="77777777" w:rsidR="000A2768" w:rsidRPr="007F392D" w:rsidRDefault="000A2768" w:rsidP="00830E60">
            <w:pPr>
              <w:rPr>
                <w:i/>
                <w:sz w:val="28"/>
                <w:szCs w:val="28"/>
              </w:rPr>
            </w:pPr>
          </w:p>
        </w:tc>
      </w:tr>
      <w:tr w:rsidR="000A2768" w:rsidRPr="00770905" w14:paraId="0F85A2FD" w14:textId="77777777" w:rsidTr="0020488A">
        <w:tc>
          <w:tcPr>
            <w:tcW w:w="1077" w:type="pct"/>
            <w:gridSpan w:val="2"/>
            <w:shd w:val="clear" w:color="auto" w:fill="auto"/>
          </w:tcPr>
          <w:p w14:paraId="6778072D" w14:textId="77777777" w:rsidR="000A2768" w:rsidRPr="007F392D" w:rsidRDefault="000A2768" w:rsidP="00830E60">
            <w:pPr>
              <w:rPr>
                <w:i/>
                <w:sz w:val="28"/>
                <w:szCs w:val="28"/>
              </w:rPr>
            </w:pPr>
          </w:p>
        </w:tc>
        <w:tc>
          <w:tcPr>
            <w:tcW w:w="3923" w:type="pct"/>
            <w:shd w:val="clear" w:color="auto" w:fill="auto"/>
          </w:tcPr>
          <w:p w14:paraId="02B82F2E" w14:textId="77777777" w:rsidR="000A2768" w:rsidRPr="00AF341C" w:rsidRDefault="000A2768" w:rsidP="00830E60">
            <w:pPr>
              <w:numPr>
                <w:ilvl w:val="0"/>
                <w:numId w:val="1"/>
              </w:numPr>
              <w:rPr>
                <w:sz w:val="24"/>
                <w:szCs w:val="24"/>
              </w:rPr>
            </w:pPr>
            <w:r w:rsidRPr="00AF341C">
              <w:rPr>
                <w:sz w:val="24"/>
                <w:szCs w:val="24"/>
              </w:rPr>
              <w:t>People presenting with HIV at a late stage of infection: update to include revision of previously published data and new data point for the calendar year 201</w:t>
            </w:r>
            <w:r>
              <w:rPr>
                <w:sz w:val="24"/>
                <w:szCs w:val="24"/>
              </w:rPr>
              <w:t>7</w:t>
            </w:r>
            <w:r w:rsidRPr="00AF341C">
              <w:rPr>
                <w:sz w:val="24"/>
                <w:szCs w:val="24"/>
              </w:rPr>
              <w:t xml:space="preserve"> (shown as years 201</w:t>
            </w:r>
            <w:r>
              <w:rPr>
                <w:sz w:val="24"/>
                <w:szCs w:val="24"/>
              </w:rPr>
              <w:t>5</w:t>
            </w:r>
            <w:r w:rsidRPr="00AF341C">
              <w:rPr>
                <w:sz w:val="24"/>
                <w:szCs w:val="24"/>
              </w:rPr>
              <w:t>, 201</w:t>
            </w:r>
            <w:r>
              <w:rPr>
                <w:sz w:val="24"/>
                <w:szCs w:val="24"/>
              </w:rPr>
              <w:t>6</w:t>
            </w:r>
            <w:r w:rsidRPr="00AF341C">
              <w:rPr>
                <w:sz w:val="24"/>
                <w:szCs w:val="24"/>
              </w:rPr>
              <w:t xml:space="preserve"> &amp; 201</w:t>
            </w:r>
            <w:r>
              <w:rPr>
                <w:sz w:val="24"/>
                <w:szCs w:val="24"/>
              </w:rPr>
              <w:t>7</w:t>
            </w:r>
            <w:r w:rsidRPr="00AF341C">
              <w:rPr>
                <w:sz w:val="24"/>
                <w:szCs w:val="24"/>
              </w:rPr>
              <w:t xml:space="preserve"> combined).</w:t>
            </w:r>
          </w:p>
          <w:p w14:paraId="6EF6A56A" w14:textId="77777777" w:rsidR="000A2768" w:rsidRPr="00AF341C" w:rsidRDefault="000A2768" w:rsidP="00830E60">
            <w:pPr>
              <w:numPr>
                <w:ilvl w:val="0"/>
                <w:numId w:val="1"/>
              </w:numPr>
              <w:rPr>
                <w:sz w:val="24"/>
                <w:szCs w:val="24"/>
              </w:rPr>
            </w:pPr>
            <w:r w:rsidRPr="00AF341C">
              <w:rPr>
                <w:sz w:val="24"/>
                <w:szCs w:val="24"/>
              </w:rPr>
              <w:t>Prevalence of diagnosed HIV infection per 1,000 persons aged 15-59 years: update to include revision of previously published data and new data point for the calendar year 201</w:t>
            </w:r>
            <w:r>
              <w:rPr>
                <w:sz w:val="24"/>
                <w:szCs w:val="24"/>
              </w:rPr>
              <w:t>7</w:t>
            </w:r>
            <w:r w:rsidRPr="00AF341C">
              <w:rPr>
                <w:sz w:val="24"/>
                <w:szCs w:val="24"/>
              </w:rPr>
              <w:t>.</w:t>
            </w:r>
          </w:p>
          <w:p w14:paraId="0734CC13" w14:textId="77777777" w:rsidR="000A2768" w:rsidRPr="00AF341C" w:rsidRDefault="000A2768" w:rsidP="00830E60">
            <w:pPr>
              <w:pStyle w:val="ListParagraph"/>
              <w:numPr>
                <w:ilvl w:val="0"/>
                <w:numId w:val="1"/>
              </w:numPr>
              <w:rPr>
                <w:sz w:val="24"/>
                <w:szCs w:val="24"/>
              </w:rPr>
            </w:pPr>
            <w:r w:rsidRPr="00AF341C">
              <w:rPr>
                <w:sz w:val="24"/>
                <w:szCs w:val="24"/>
              </w:rPr>
              <w:lastRenderedPageBreak/>
              <w:t>New HIV diagnosis rate per 100,000 aged 15+ update to include revision of previously published data and new data point for the calendar year 201</w:t>
            </w:r>
            <w:r>
              <w:rPr>
                <w:sz w:val="24"/>
                <w:szCs w:val="24"/>
              </w:rPr>
              <w:t>7</w:t>
            </w:r>
            <w:r w:rsidRPr="00AF341C">
              <w:rPr>
                <w:sz w:val="24"/>
                <w:szCs w:val="24"/>
              </w:rPr>
              <w:t>.</w:t>
            </w:r>
          </w:p>
        </w:tc>
      </w:tr>
      <w:bookmarkEnd w:id="4"/>
      <w:tr w:rsidR="000A2768" w:rsidRPr="00770905" w14:paraId="75D1BEE4" w14:textId="77777777" w:rsidTr="0020488A">
        <w:tc>
          <w:tcPr>
            <w:tcW w:w="1077" w:type="pct"/>
            <w:gridSpan w:val="2"/>
            <w:shd w:val="clear" w:color="auto" w:fill="auto"/>
          </w:tcPr>
          <w:p w14:paraId="14CA6C39" w14:textId="77777777" w:rsidR="000A2768" w:rsidRPr="007F392D" w:rsidRDefault="000A2768" w:rsidP="00830E60">
            <w:pPr>
              <w:rPr>
                <w:i/>
                <w:sz w:val="28"/>
                <w:szCs w:val="28"/>
              </w:rPr>
            </w:pPr>
            <w:r>
              <w:rPr>
                <w:i/>
                <w:sz w:val="28"/>
                <w:szCs w:val="28"/>
              </w:rPr>
              <w:lastRenderedPageBreak/>
              <w:t>October</w:t>
            </w:r>
          </w:p>
        </w:tc>
        <w:tc>
          <w:tcPr>
            <w:tcW w:w="3923" w:type="pct"/>
            <w:shd w:val="clear" w:color="auto" w:fill="auto"/>
          </w:tcPr>
          <w:p w14:paraId="34A695E8" w14:textId="77777777" w:rsidR="000A2768" w:rsidRPr="007F392D" w:rsidRDefault="000A2768" w:rsidP="00830E60">
            <w:pPr>
              <w:rPr>
                <w:i/>
                <w:sz w:val="28"/>
                <w:szCs w:val="28"/>
              </w:rPr>
            </w:pPr>
          </w:p>
        </w:tc>
      </w:tr>
      <w:tr w:rsidR="000A2768" w:rsidRPr="00770905" w14:paraId="71411E77" w14:textId="77777777" w:rsidTr="0020488A">
        <w:tc>
          <w:tcPr>
            <w:tcW w:w="1077" w:type="pct"/>
            <w:gridSpan w:val="2"/>
            <w:tcBorders>
              <w:bottom w:val="single" w:sz="4" w:space="0" w:color="auto"/>
            </w:tcBorders>
            <w:shd w:val="clear" w:color="auto" w:fill="auto"/>
          </w:tcPr>
          <w:p w14:paraId="0A953A53" w14:textId="77777777" w:rsidR="000A2768" w:rsidRPr="007F392D" w:rsidRDefault="000A2768" w:rsidP="00830E60">
            <w:pPr>
              <w:rPr>
                <w:i/>
                <w:sz w:val="28"/>
                <w:szCs w:val="28"/>
              </w:rPr>
            </w:pPr>
          </w:p>
        </w:tc>
        <w:tc>
          <w:tcPr>
            <w:tcW w:w="3923" w:type="pct"/>
            <w:tcBorders>
              <w:bottom w:val="single" w:sz="4" w:space="0" w:color="auto"/>
            </w:tcBorders>
            <w:shd w:val="clear" w:color="auto" w:fill="auto"/>
          </w:tcPr>
          <w:p w14:paraId="19EB419F" w14:textId="77777777" w:rsidR="000A2768" w:rsidRPr="008772B8" w:rsidRDefault="000A2768" w:rsidP="00830E60">
            <w:pPr>
              <w:numPr>
                <w:ilvl w:val="0"/>
                <w:numId w:val="1"/>
              </w:numPr>
              <w:rPr>
                <w:sz w:val="24"/>
                <w:szCs w:val="24"/>
              </w:rPr>
            </w:pPr>
            <w:r w:rsidRPr="008772B8">
              <w:rPr>
                <w:sz w:val="24"/>
                <w:szCs w:val="24"/>
              </w:rPr>
              <w:t>Proportion of TB cases offered an HIV test (TB Strategy Monit</w:t>
            </w:r>
            <w:r>
              <w:rPr>
                <w:sz w:val="24"/>
                <w:szCs w:val="24"/>
              </w:rPr>
              <w:t>oring Indicators) update to 2017</w:t>
            </w:r>
            <w:r w:rsidRPr="008772B8">
              <w:rPr>
                <w:sz w:val="24"/>
                <w:szCs w:val="24"/>
              </w:rPr>
              <w:t>.</w:t>
            </w:r>
          </w:p>
        </w:tc>
      </w:tr>
      <w:tr w:rsidR="000A2768" w:rsidRPr="00770905" w14:paraId="2D18590D" w14:textId="77777777" w:rsidTr="0020488A">
        <w:tblPrEx>
          <w:tblBorders>
            <w:left w:val="single" w:sz="4" w:space="0" w:color="auto"/>
            <w:right w:val="single" w:sz="4" w:space="0" w:color="auto"/>
          </w:tblBorders>
        </w:tblPrEx>
        <w:tc>
          <w:tcPr>
            <w:tcW w:w="1077" w:type="pct"/>
            <w:gridSpan w:val="2"/>
            <w:tcBorders>
              <w:top w:val="single" w:sz="4" w:space="0" w:color="auto"/>
              <w:left w:val="nil"/>
              <w:bottom w:val="single" w:sz="4" w:space="0" w:color="auto"/>
              <w:right w:val="single" w:sz="4" w:space="0" w:color="auto"/>
            </w:tcBorders>
          </w:tcPr>
          <w:p w14:paraId="6A3AB3CA" w14:textId="77777777" w:rsidR="000A2768" w:rsidRPr="007F392D" w:rsidRDefault="000A2768" w:rsidP="00830E60">
            <w:pPr>
              <w:rPr>
                <w:i/>
                <w:sz w:val="28"/>
                <w:szCs w:val="28"/>
              </w:rPr>
            </w:pPr>
            <w:r>
              <w:rPr>
                <w:i/>
                <w:sz w:val="28"/>
                <w:szCs w:val="28"/>
              </w:rPr>
              <w:t>December</w:t>
            </w:r>
          </w:p>
        </w:tc>
        <w:tc>
          <w:tcPr>
            <w:tcW w:w="3923" w:type="pct"/>
            <w:tcBorders>
              <w:top w:val="single" w:sz="4" w:space="0" w:color="auto"/>
              <w:left w:val="single" w:sz="4" w:space="0" w:color="auto"/>
              <w:bottom w:val="single" w:sz="4" w:space="0" w:color="auto"/>
              <w:right w:val="nil"/>
            </w:tcBorders>
          </w:tcPr>
          <w:p w14:paraId="69103043" w14:textId="77777777" w:rsidR="000A2768" w:rsidRPr="007F392D" w:rsidRDefault="000A2768" w:rsidP="00830E60">
            <w:pPr>
              <w:rPr>
                <w:i/>
                <w:sz w:val="28"/>
                <w:szCs w:val="28"/>
              </w:rPr>
            </w:pPr>
          </w:p>
        </w:tc>
      </w:tr>
      <w:tr w:rsidR="000A2768" w:rsidRPr="00770905" w14:paraId="19B52DAE" w14:textId="77777777" w:rsidTr="0020488A">
        <w:tblPrEx>
          <w:tblBorders>
            <w:left w:val="single" w:sz="4" w:space="0" w:color="auto"/>
            <w:right w:val="single" w:sz="4" w:space="0" w:color="auto"/>
          </w:tblBorders>
        </w:tblPrEx>
        <w:tc>
          <w:tcPr>
            <w:tcW w:w="1077" w:type="pct"/>
            <w:gridSpan w:val="2"/>
            <w:tcBorders>
              <w:top w:val="single" w:sz="4" w:space="0" w:color="auto"/>
              <w:left w:val="nil"/>
              <w:bottom w:val="nil"/>
              <w:right w:val="single" w:sz="4" w:space="0" w:color="auto"/>
            </w:tcBorders>
          </w:tcPr>
          <w:p w14:paraId="1A1D11FB" w14:textId="77777777" w:rsidR="000A2768" w:rsidRPr="007F392D" w:rsidRDefault="000A2768" w:rsidP="00830E60">
            <w:pPr>
              <w:rPr>
                <w:i/>
                <w:sz w:val="28"/>
                <w:szCs w:val="28"/>
              </w:rPr>
            </w:pPr>
          </w:p>
        </w:tc>
        <w:tc>
          <w:tcPr>
            <w:tcW w:w="3923" w:type="pct"/>
            <w:tcBorders>
              <w:top w:val="single" w:sz="4" w:space="0" w:color="auto"/>
              <w:left w:val="single" w:sz="4" w:space="0" w:color="auto"/>
              <w:bottom w:val="nil"/>
              <w:right w:val="nil"/>
            </w:tcBorders>
          </w:tcPr>
          <w:p w14:paraId="68477DE2" w14:textId="77777777" w:rsidR="000A2768" w:rsidRPr="00E62847" w:rsidRDefault="000A2768" w:rsidP="00830E60">
            <w:pPr>
              <w:pStyle w:val="ListParagraph"/>
              <w:numPr>
                <w:ilvl w:val="0"/>
                <w:numId w:val="15"/>
              </w:numPr>
              <w:rPr>
                <w:sz w:val="24"/>
                <w:szCs w:val="24"/>
              </w:rPr>
            </w:pPr>
            <w:r>
              <w:rPr>
                <w:sz w:val="24"/>
                <w:szCs w:val="24"/>
              </w:rPr>
              <w:t xml:space="preserve">Contraception indicators update to 2017, including indicators for </w:t>
            </w:r>
            <w:r w:rsidRPr="00CF6E95">
              <w:rPr>
                <w:sz w:val="24"/>
                <w:szCs w:val="24"/>
              </w:rPr>
              <w:t>'Under 25s individuals attend specialist contraceptive services</w:t>
            </w:r>
            <w:r>
              <w:rPr>
                <w:sz w:val="24"/>
                <w:szCs w:val="24"/>
              </w:rPr>
              <w:t xml:space="preserve"> rate', </w:t>
            </w:r>
            <w:r w:rsidRPr="00CF6E95">
              <w:rPr>
                <w:sz w:val="24"/>
                <w:szCs w:val="24"/>
              </w:rPr>
              <w:t>males and females.</w:t>
            </w:r>
          </w:p>
        </w:tc>
      </w:tr>
    </w:tbl>
    <w:p w14:paraId="56A6393C" w14:textId="77777777" w:rsidR="00A64956" w:rsidRPr="00083EAB" w:rsidRDefault="00A64956" w:rsidP="00083EAB">
      <w:pPr>
        <w:tabs>
          <w:tab w:val="left" w:pos="7309"/>
        </w:tabs>
        <w:spacing w:after="0" w:line="240" w:lineRule="auto"/>
        <w:rPr>
          <w:b/>
          <w:sz w:val="24"/>
          <w:szCs w:val="24"/>
        </w:rPr>
      </w:pPr>
    </w:p>
    <w:tbl>
      <w:tblPr>
        <w:tblStyle w:val="TableGrid"/>
        <w:tblW w:w="9923" w:type="dxa"/>
        <w:tblBorders>
          <w:left w:val="none" w:sz="0" w:space="0" w:color="auto"/>
          <w:right w:val="none" w:sz="0" w:space="0" w:color="auto"/>
        </w:tblBorders>
        <w:tblLook w:val="04A0" w:firstRow="1" w:lastRow="0" w:firstColumn="1" w:lastColumn="0" w:noHBand="0" w:noVBand="1"/>
      </w:tblPr>
      <w:tblGrid>
        <w:gridCol w:w="2184"/>
        <w:gridCol w:w="7739"/>
      </w:tblGrid>
      <w:tr w:rsidR="00CF6E95" w:rsidRPr="00770905" w14:paraId="12E42F2F" w14:textId="77777777" w:rsidTr="0020488A">
        <w:tc>
          <w:tcPr>
            <w:tcW w:w="2184" w:type="dxa"/>
            <w:shd w:val="clear" w:color="auto" w:fill="92CDDC" w:themeFill="accent5" w:themeFillTint="99"/>
          </w:tcPr>
          <w:p w14:paraId="41EEA882" w14:textId="77777777" w:rsidR="00CF6E95" w:rsidRPr="007F392D" w:rsidRDefault="00CF6E95" w:rsidP="00F37F00">
            <w:pPr>
              <w:rPr>
                <w:i/>
                <w:sz w:val="28"/>
                <w:szCs w:val="28"/>
              </w:rPr>
            </w:pPr>
            <w:r>
              <w:rPr>
                <w:b/>
                <w:sz w:val="28"/>
                <w:szCs w:val="28"/>
              </w:rPr>
              <w:t>2017</w:t>
            </w:r>
          </w:p>
        </w:tc>
        <w:tc>
          <w:tcPr>
            <w:tcW w:w="7739" w:type="dxa"/>
            <w:shd w:val="clear" w:color="auto" w:fill="92CDDC" w:themeFill="accent5" w:themeFillTint="99"/>
          </w:tcPr>
          <w:p w14:paraId="7BC36AC6" w14:textId="77777777" w:rsidR="00CF6E95" w:rsidRPr="00770905" w:rsidRDefault="00CF6E95" w:rsidP="00F37F00">
            <w:pPr>
              <w:pStyle w:val="ListParagraph"/>
              <w:ind w:left="360"/>
              <w:rPr>
                <w:i/>
                <w:sz w:val="28"/>
                <w:szCs w:val="28"/>
              </w:rPr>
            </w:pPr>
            <w:r>
              <w:rPr>
                <w:b/>
                <w:sz w:val="28"/>
                <w:szCs w:val="28"/>
              </w:rPr>
              <w:t>Updates</w:t>
            </w:r>
          </w:p>
        </w:tc>
      </w:tr>
      <w:tr w:rsidR="00CF6E95" w:rsidRPr="00770905" w14:paraId="33257EFF" w14:textId="77777777" w:rsidTr="0020488A">
        <w:tc>
          <w:tcPr>
            <w:tcW w:w="2184" w:type="dxa"/>
            <w:shd w:val="clear" w:color="auto" w:fill="auto"/>
          </w:tcPr>
          <w:p w14:paraId="56F2DE49" w14:textId="77777777" w:rsidR="00CF6E95" w:rsidRPr="007F392D" w:rsidRDefault="00CF6E95" w:rsidP="00F37F00">
            <w:pPr>
              <w:rPr>
                <w:i/>
                <w:sz w:val="28"/>
                <w:szCs w:val="28"/>
              </w:rPr>
            </w:pPr>
            <w:r w:rsidRPr="007F392D">
              <w:rPr>
                <w:i/>
                <w:sz w:val="28"/>
                <w:szCs w:val="28"/>
              </w:rPr>
              <w:t>February</w:t>
            </w:r>
          </w:p>
        </w:tc>
        <w:tc>
          <w:tcPr>
            <w:tcW w:w="7739" w:type="dxa"/>
            <w:shd w:val="clear" w:color="auto" w:fill="auto"/>
          </w:tcPr>
          <w:p w14:paraId="3E4689E9" w14:textId="77777777" w:rsidR="00CF6E95" w:rsidRPr="00B745EE" w:rsidRDefault="00CF6E95" w:rsidP="00F37F00">
            <w:pPr>
              <w:pStyle w:val="ListParagraph"/>
              <w:ind w:left="360"/>
              <w:rPr>
                <w:sz w:val="24"/>
                <w:szCs w:val="24"/>
              </w:rPr>
            </w:pPr>
          </w:p>
        </w:tc>
      </w:tr>
      <w:tr w:rsidR="00CF6E95" w:rsidRPr="00770905" w14:paraId="7CC9EEA2" w14:textId="77777777" w:rsidTr="0020488A">
        <w:tc>
          <w:tcPr>
            <w:tcW w:w="2184" w:type="dxa"/>
            <w:shd w:val="clear" w:color="auto" w:fill="auto"/>
          </w:tcPr>
          <w:p w14:paraId="4085BDD3" w14:textId="77777777" w:rsidR="00CF6E95" w:rsidRPr="007F392D" w:rsidRDefault="00CF6E95" w:rsidP="00F37F00">
            <w:pPr>
              <w:rPr>
                <w:i/>
                <w:sz w:val="28"/>
                <w:szCs w:val="28"/>
              </w:rPr>
            </w:pPr>
          </w:p>
        </w:tc>
        <w:tc>
          <w:tcPr>
            <w:tcW w:w="7739" w:type="dxa"/>
            <w:shd w:val="clear" w:color="auto" w:fill="auto"/>
          </w:tcPr>
          <w:p w14:paraId="65D0228A" w14:textId="77777777" w:rsidR="00CF6E95" w:rsidRPr="00410C58" w:rsidRDefault="00CF6E95" w:rsidP="00F37F00">
            <w:pPr>
              <w:pStyle w:val="ListParagraph"/>
              <w:numPr>
                <w:ilvl w:val="0"/>
                <w:numId w:val="15"/>
              </w:numPr>
              <w:rPr>
                <w:sz w:val="24"/>
                <w:szCs w:val="24"/>
              </w:rPr>
            </w:pPr>
            <w:r w:rsidRPr="00410C58">
              <w:rPr>
                <w:sz w:val="24"/>
                <w:szCs w:val="24"/>
              </w:rPr>
              <w:t xml:space="preserve">Under 16s in poverty (PHOF </w:t>
            </w:r>
            <w:r>
              <w:rPr>
                <w:sz w:val="24"/>
                <w:szCs w:val="24"/>
              </w:rPr>
              <w:t>indicator 1.01ii) update to 2014</w:t>
            </w:r>
          </w:p>
        </w:tc>
      </w:tr>
      <w:tr w:rsidR="00CF6E95" w:rsidRPr="00770905" w14:paraId="1847FF9B" w14:textId="77777777" w:rsidTr="0020488A">
        <w:tc>
          <w:tcPr>
            <w:tcW w:w="2184" w:type="dxa"/>
            <w:shd w:val="clear" w:color="auto" w:fill="auto"/>
          </w:tcPr>
          <w:p w14:paraId="69D4A945" w14:textId="77777777" w:rsidR="00CF6E95" w:rsidRDefault="00CF6E95" w:rsidP="00F37F00">
            <w:pPr>
              <w:rPr>
                <w:i/>
                <w:sz w:val="28"/>
                <w:szCs w:val="28"/>
              </w:rPr>
            </w:pPr>
            <w:r>
              <w:rPr>
                <w:i/>
                <w:sz w:val="28"/>
                <w:szCs w:val="28"/>
              </w:rPr>
              <w:t>March</w:t>
            </w:r>
          </w:p>
        </w:tc>
        <w:tc>
          <w:tcPr>
            <w:tcW w:w="7739" w:type="dxa"/>
            <w:shd w:val="clear" w:color="auto" w:fill="auto"/>
          </w:tcPr>
          <w:p w14:paraId="1E6EB5FA" w14:textId="77777777" w:rsidR="00CF6E95" w:rsidRPr="007F392D" w:rsidRDefault="00CF6E95" w:rsidP="00F37F00">
            <w:pPr>
              <w:rPr>
                <w:i/>
                <w:sz w:val="28"/>
                <w:szCs w:val="28"/>
              </w:rPr>
            </w:pPr>
          </w:p>
        </w:tc>
      </w:tr>
      <w:tr w:rsidR="00CF6E95" w:rsidRPr="00770905" w14:paraId="167AF8BF" w14:textId="77777777" w:rsidTr="0020488A">
        <w:tc>
          <w:tcPr>
            <w:tcW w:w="2184" w:type="dxa"/>
            <w:shd w:val="clear" w:color="auto" w:fill="auto"/>
          </w:tcPr>
          <w:p w14:paraId="1D25913D" w14:textId="77777777" w:rsidR="00CF6E95" w:rsidRDefault="00CF6E95" w:rsidP="00F37F00">
            <w:pPr>
              <w:rPr>
                <w:i/>
                <w:sz w:val="28"/>
                <w:szCs w:val="28"/>
              </w:rPr>
            </w:pPr>
          </w:p>
        </w:tc>
        <w:tc>
          <w:tcPr>
            <w:tcW w:w="7739" w:type="dxa"/>
            <w:shd w:val="clear" w:color="auto" w:fill="auto"/>
          </w:tcPr>
          <w:p w14:paraId="45417FEA" w14:textId="77777777" w:rsidR="00CF6E95" w:rsidRDefault="00CF6E95" w:rsidP="00F37F00">
            <w:pPr>
              <w:pStyle w:val="ListParagraph"/>
              <w:numPr>
                <w:ilvl w:val="0"/>
                <w:numId w:val="15"/>
              </w:numPr>
              <w:rPr>
                <w:sz w:val="24"/>
                <w:szCs w:val="24"/>
              </w:rPr>
            </w:pPr>
            <w:r>
              <w:rPr>
                <w:sz w:val="24"/>
                <w:szCs w:val="24"/>
              </w:rPr>
              <w:t>Contraception indicators update to 2015 (delayed release arising from need to resolve data access and processing agreement with NHS Digital)</w:t>
            </w:r>
          </w:p>
          <w:p w14:paraId="7CD51B08" w14:textId="77777777" w:rsidR="00CF6E95" w:rsidRPr="00B64015" w:rsidRDefault="00CF6E95" w:rsidP="00F37F00">
            <w:pPr>
              <w:pStyle w:val="ListParagraph"/>
              <w:numPr>
                <w:ilvl w:val="0"/>
                <w:numId w:val="15"/>
              </w:numPr>
              <w:rPr>
                <w:sz w:val="24"/>
                <w:szCs w:val="24"/>
              </w:rPr>
            </w:pPr>
            <w:r>
              <w:rPr>
                <w:sz w:val="24"/>
                <w:szCs w:val="24"/>
              </w:rPr>
              <w:t>20</w:t>
            </w:r>
            <w:r w:rsidRPr="002A3058">
              <w:rPr>
                <w:sz w:val="24"/>
                <w:szCs w:val="24"/>
                <w:vertAlign w:val="superscript"/>
              </w:rPr>
              <w:t>th</w:t>
            </w:r>
            <w:r>
              <w:rPr>
                <w:sz w:val="24"/>
                <w:szCs w:val="24"/>
              </w:rPr>
              <w:t xml:space="preserve"> March 2017 – d</w:t>
            </w:r>
            <w:r w:rsidRPr="00827397">
              <w:rPr>
                <w:sz w:val="24"/>
                <w:szCs w:val="24"/>
              </w:rPr>
              <w:t xml:space="preserve">ata for the indicator HIV late diagnosis </w:t>
            </w:r>
            <w:r>
              <w:rPr>
                <w:sz w:val="24"/>
                <w:szCs w:val="24"/>
              </w:rPr>
              <w:t xml:space="preserve">(PHOF indicator 3.04) </w:t>
            </w:r>
            <w:r w:rsidRPr="00827397">
              <w:rPr>
                <w:sz w:val="24"/>
                <w:szCs w:val="24"/>
              </w:rPr>
              <w:t xml:space="preserve">has been revised.  A data processing issue was identified for one laboratory submission covering 2015 data.  Consequently, the data presented for the local area and region was not accurate.  This has been corrected and results are updated for the </w:t>
            </w:r>
            <w:proofErr w:type="gramStart"/>
            <w:r w:rsidRPr="00827397">
              <w:rPr>
                <w:sz w:val="24"/>
                <w:szCs w:val="24"/>
              </w:rPr>
              <w:t>time period</w:t>
            </w:r>
            <w:proofErr w:type="gramEnd"/>
            <w:r w:rsidRPr="00827397">
              <w:rPr>
                <w:sz w:val="24"/>
                <w:szCs w:val="24"/>
              </w:rPr>
              <w:t xml:space="preserve"> 2013-15.</w:t>
            </w:r>
          </w:p>
        </w:tc>
      </w:tr>
      <w:tr w:rsidR="00CF6E95" w:rsidRPr="00770905" w14:paraId="2D97D096" w14:textId="77777777" w:rsidTr="0020488A">
        <w:tc>
          <w:tcPr>
            <w:tcW w:w="2184" w:type="dxa"/>
            <w:shd w:val="clear" w:color="auto" w:fill="auto"/>
          </w:tcPr>
          <w:p w14:paraId="06A56E2A" w14:textId="77777777" w:rsidR="00CF6E95" w:rsidRPr="007F392D" w:rsidRDefault="00CF6E95" w:rsidP="00F37F00">
            <w:pPr>
              <w:rPr>
                <w:i/>
                <w:sz w:val="28"/>
                <w:szCs w:val="28"/>
              </w:rPr>
            </w:pPr>
            <w:r>
              <w:rPr>
                <w:i/>
                <w:sz w:val="28"/>
                <w:szCs w:val="28"/>
              </w:rPr>
              <w:t>April</w:t>
            </w:r>
          </w:p>
        </w:tc>
        <w:tc>
          <w:tcPr>
            <w:tcW w:w="7739" w:type="dxa"/>
            <w:shd w:val="clear" w:color="auto" w:fill="auto"/>
          </w:tcPr>
          <w:p w14:paraId="137FEC45" w14:textId="77777777" w:rsidR="00CF6E95" w:rsidRPr="007F392D" w:rsidRDefault="00CF6E95" w:rsidP="00F37F00">
            <w:pPr>
              <w:rPr>
                <w:i/>
                <w:sz w:val="28"/>
                <w:szCs w:val="28"/>
              </w:rPr>
            </w:pPr>
          </w:p>
        </w:tc>
      </w:tr>
      <w:tr w:rsidR="00CF6E95" w:rsidRPr="00770905" w14:paraId="01300EA1" w14:textId="77777777" w:rsidTr="0020488A">
        <w:tc>
          <w:tcPr>
            <w:tcW w:w="2184" w:type="dxa"/>
            <w:shd w:val="clear" w:color="auto" w:fill="auto"/>
          </w:tcPr>
          <w:p w14:paraId="3429C2D7" w14:textId="77777777" w:rsidR="00CF6E95" w:rsidRPr="00DB583C" w:rsidRDefault="00CF6E95" w:rsidP="00F37F00">
            <w:pPr>
              <w:rPr>
                <w:sz w:val="28"/>
                <w:szCs w:val="28"/>
              </w:rPr>
            </w:pPr>
          </w:p>
        </w:tc>
        <w:tc>
          <w:tcPr>
            <w:tcW w:w="7739" w:type="dxa"/>
            <w:shd w:val="clear" w:color="auto" w:fill="auto"/>
          </w:tcPr>
          <w:p w14:paraId="41247C5C" w14:textId="77777777" w:rsidR="00CF6E95" w:rsidRDefault="00CF6E95" w:rsidP="00F37F00">
            <w:pPr>
              <w:pStyle w:val="ListParagraph"/>
              <w:numPr>
                <w:ilvl w:val="0"/>
                <w:numId w:val="15"/>
              </w:numPr>
              <w:rPr>
                <w:sz w:val="24"/>
                <w:szCs w:val="24"/>
              </w:rPr>
            </w:pPr>
            <w:r>
              <w:rPr>
                <w:sz w:val="24"/>
                <w:szCs w:val="24"/>
              </w:rPr>
              <w:t>Teenage pregnancy indicators update to 2015 or 2015/16</w:t>
            </w:r>
          </w:p>
          <w:p w14:paraId="2FC3AF7D" w14:textId="77777777" w:rsidR="00CF6E95" w:rsidRPr="009A4223" w:rsidRDefault="00CF6E95" w:rsidP="00F37F00">
            <w:pPr>
              <w:pStyle w:val="ListParagraph"/>
              <w:numPr>
                <w:ilvl w:val="0"/>
                <w:numId w:val="15"/>
              </w:numPr>
              <w:rPr>
                <w:sz w:val="24"/>
                <w:szCs w:val="24"/>
              </w:rPr>
            </w:pPr>
            <w:r>
              <w:rPr>
                <w:sz w:val="24"/>
                <w:szCs w:val="24"/>
              </w:rPr>
              <w:t xml:space="preserve">Percentage GCSEs achieved (5A*-C </w:t>
            </w:r>
            <w:proofErr w:type="spellStart"/>
            <w:r>
              <w:rPr>
                <w:sz w:val="24"/>
                <w:szCs w:val="24"/>
              </w:rPr>
              <w:t>incl</w:t>
            </w:r>
            <w:proofErr w:type="spellEnd"/>
            <w:r>
              <w:rPr>
                <w:sz w:val="24"/>
                <w:szCs w:val="24"/>
              </w:rPr>
              <w:t xml:space="preserve"> English &amp; Maths) update to 2015/16</w:t>
            </w:r>
          </w:p>
        </w:tc>
      </w:tr>
      <w:tr w:rsidR="00CF6E95" w:rsidRPr="00770905" w14:paraId="405CEB01" w14:textId="77777777" w:rsidTr="0020488A">
        <w:tc>
          <w:tcPr>
            <w:tcW w:w="2184" w:type="dxa"/>
            <w:shd w:val="clear" w:color="auto" w:fill="auto"/>
          </w:tcPr>
          <w:p w14:paraId="2BADDD27" w14:textId="77777777" w:rsidR="00CF6E95" w:rsidRDefault="00CF6E95" w:rsidP="00F37F00">
            <w:pPr>
              <w:rPr>
                <w:i/>
                <w:sz w:val="28"/>
                <w:szCs w:val="28"/>
              </w:rPr>
            </w:pPr>
            <w:r>
              <w:rPr>
                <w:i/>
                <w:sz w:val="28"/>
                <w:szCs w:val="28"/>
              </w:rPr>
              <w:t>May</w:t>
            </w:r>
          </w:p>
        </w:tc>
        <w:tc>
          <w:tcPr>
            <w:tcW w:w="7739" w:type="dxa"/>
            <w:shd w:val="clear" w:color="auto" w:fill="auto"/>
          </w:tcPr>
          <w:p w14:paraId="4809F085" w14:textId="77777777" w:rsidR="00CF6E95" w:rsidRPr="00F54D6E" w:rsidRDefault="00CF6E95" w:rsidP="00F37F00">
            <w:pPr>
              <w:rPr>
                <w:sz w:val="24"/>
                <w:szCs w:val="24"/>
              </w:rPr>
            </w:pPr>
          </w:p>
        </w:tc>
      </w:tr>
      <w:tr w:rsidR="00CF6E95" w:rsidRPr="00770905" w14:paraId="68E123D9" w14:textId="77777777" w:rsidTr="0020488A">
        <w:tc>
          <w:tcPr>
            <w:tcW w:w="2184" w:type="dxa"/>
            <w:shd w:val="clear" w:color="auto" w:fill="auto"/>
          </w:tcPr>
          <w:p w14:paraId="47B06EDD" w14:textId="77777777" w:rsidR="00CF6E95" w:rsidRDefault="00CF6E95" w:rsidP="00F37F00">
            <w:pPr>
              <w:rPr>
                <w:i/>
                <w:sz w:val="28"/>
                <w:szCs w:val="28"/>
              </w:rPr>
            </w:pPr>
          </w:p>
        </w:tc>
        <w:tc>
          <w:tcPr>
            <w:tcW w:w="7739" w:type="dxa"/>
            <w:shd w:val="clear" w:color="auto" w:fill="auto"/>
          </w:tcPr>
          <w:p w14:paraId="5699E488" w14:textId="77777777" w:rsidR="00CF6E95" w:rsidRPr="00F54D6E" w:rsidRDefault="00CF6E95" w:rsidP="00F37F00">
            <w:pPr>
              <w:pStyle w:val="ListParagraph"/>
              <w:numPr>
                <w:ilvl w:val="0"/>
                <w:numId w:val="21"/>
              </w:numPr>
              <w:rPr>
                <w:sz w:val="24"/>
                <w:szCs w:val="24"/>
              </w:rPr>
            </w:pPr>
            <w:r w:rsidRPr="00F54D6E">
              <w:rPr>
                <w:sz w:val="24"/>
                <w:szCs w:val="24"/>
              </w:rPr>
              <w:t xml:space="preserve">Population vaccine coverage </w:t>
            </w:r>
            <w:r>
              <w:rPr>
                <w:sz w:val="24"/>
                <w:szCs w:val="24"/>
              </w:rPr>
              <w:t>–</w:t>
            </w:r>
            <w:r w:rsidRPr="00F54D6E">
              <w:rPr>
                <w:sz w:val="24"/>
                <w:szCs w:val="24"/>
              </w:rPr>
              <w:t xml:space="preserve"> HPV </w:t>
            </w:r>
            <w:r>
              <w:rPr>
                <w:sz w:val="24"/>
                <w:szCs w:val="24"/>
              </w:rPr>
              <w:t xml:space="preserve">vaccine coverage for one dose (females 12-13 years </w:t>
            </w:r>
            <w:proofErr w:type="gramStart"/>
            <w:r>
              <w:rPr>
                <w:sz w:val="24"/>
                <w:szCs w:val="24"/>
              </w:rPr>
              <w:t>old)</w:t>
            </w:r>
            <w:r w:rsidRPr="00F54D6E">
              <w:rPr>
                <w:sz w:val="24"/>
                <w:szCs w:val="24"/>
              </w:rPr>
              <w:t>(</w:t>
            </w:r>
            <w:proofErr w:type="gramEnd"/>
            <w:r w:rsidRPr="00F54D6E">
              <w:rPr>
                <w:sz w:val="24"/>
                <w:szCs w:val="24"/>
              </w:rPr>
              <w:t>PHOF indi</w:t>
            </w:r>
            <w:r>
              <w:rPr>
                <w:sz w:val="24"/>
                <w:szCs w:val="24"/>
              </w:rPr>
              <w:t>cator 3.03xii) updated to 2015/16</w:t>
            </w:r>
          </w:p>
        </w:tc>
      </w:tr>
      <w:tr w:rsidR="00CF6E95" w:rsidRPr="00770905" w14:paraId="4662E797" w14:textId="77777777" w:rsidTr="0020488A">
        <w:tc>
          <w:tcPr>
            <w:tcW w:w="2184" w:type="dxa"/>
            <w:shd w:val="clear" w:color="auto" w:fill="auto"/>
          </w:tcPr>
          <w:p w14:paraId="202931FF" w14:textId="77777777" w:rsidR="00CF6E95" w:rsidRDefault="00CF6E95" w:rsidP="00F37F00">
            <w:pPr>
              <w:rPr>
                <w:i/>
                <w:sz w:val="28"/>
                <w:szCs w:val="28"/>
              </w:rPr>
            </w:pPr>
            <w:r>
              <w:rPr>
                <w:i/>
                <w:sz w:val="28"/>
                <w:szCs w:val="28"/>
              </w:rPr>
              <w:t>June</w:t>
            </w:r>
          </w:p>
        </w:tc>
        <w:tc>
          <w:tcPr>
            <w:tcW w:w="7739" w:type="dxa"/>
            <w:shd w:val="clear" w:color="auto" w:fill="auto"/>
          </w:tcPr>
          <w:p w14:paraId="676FC845" w14:textId="77777777" w:rsidR="00CF6E95" w:rsidRDefault="00CF6E95" w:rsidP="00F37F00">
            <w:pPr>
              <w:pStyle w:val="ListParagraph"/>
              <w:ind w:left="357"/>
              <w:rPr>
                <w:sz w:val="24"/>
                <w:szCs w:val="24"/>
              </w:rPr>
            </w:pPr>
          </w:p>
        </w:tc>
      </w:tr>
      <w:tr w:rsidR="00CF6E95" w:rsidRPr="00770905" w14:paraId="34229F33" w14:textId="77777777" w:rsidTr="0020488A">
        <w:tc>
          <w:tcPr>
            <w:tcW w:w="2184" w:type="dxa"/>
            <w:shd w:val="clear" w:color="auto" w:fill="auto"/>
          </w:tcPr>
          <w:p w14:paraId="5B5B749B" w14:textId="77777777" w:rsidR="00CF6E95" w:rsidRDefault="00CF6E95" w:rsidP="00F37F00">
            <w:pPr>
              <w:rPr>
                <w:i/>
                <w:sz w:val="28"/>
                <w:szCs w:val="28"/>
              </w:rPr>
            </w:pPr>
          </w:p>
        </w:tc>
        <w:tc>
          <w:tcPr>
            <w:tcW w:w="7739" w:type="dxa"/>
            <w:shd w:val="clear" w:color="auto" w:fill="auto"/>
          </w:tcPr>
          <w:p w14:paraId="5E953599" w14:textId="77777777" w:rsidR="00CF6E95" w:rsidRDefault="00CF6E95" w:rsidP="00F37F00">
            <w:pPr>
              <w:pStyle w:val="ListParagraph"/>
              <w:numPr>
                <w:ilvl w:val="0"/>
                <w:numId w:val="19"/>
              </w:numPr>
              <w:rPr>
                <w:sz w:val="24"/>
                <w:szCs w:val="24"/>
              </w:rPr>
            </w:pPr>
            <w:r>
              <w:rPr>
                <w:sz w:val="24"/>
                <w:szCs w:val="24"/>
              </w:rPr>
              <w:t>A</w:t>
            </w:r>
            <w:r w:rsidRPr="00C970C7">
              <w:rPr>
                <w:sz w:val="24"/>
                <w:szCs w:val="24"/>
              </w:rPr>
              <w:t>ll STI and HIV testing indicators relating to GUMCADv2 and CTAD data update – to include revision of previously published data and new data point for the calendar year 201</w:t>
            </w:r>
            <w:r>
              <w:rPr>
                <w:sz w:val="24"/>
                <w:szCs w:val="24"/>
              </w:rPr>
              <w:t>6</w:t>
            </w:r>
            <w:r w:rsidRPr="00C970C7">
              <w:rPr>
                <w:sz w:val="24"/>
                <w:szCs w:val="24"/>
              </w:rPr>
              <w:t>.</w:t>
            </w:r>
          </w:p>
          <w:p w14:paraId="1D361FE0" w14:textId="77777777" w:rsidR="00CF6E95" w:rsidRPr="00B606AB" w:rsidRDefault="00CF6E95" w:rsidP="00F37F00">
            <w:pPr>
              <w:pStyle w:val="ListParagraph"/>
              <w:numPr>
                <w:ilvl w:val="0"/>
                <w:numId w:val="19"/>
              </w:numPr>
              <w:ind w:right="-300"/>
              <w:rPr>
                <w:sz w:val="24"/>
                <w:szCs w:val="24"/>
              </w:rPr>
            </w:pPr>
            <w:r>
              <w:rPr>
                <w:sz w:val="24"/>
                <w:szCs w:val="24"/>
              </w:rPr>
              <w:t xml:space="preserve">Under 18s admission episodes for alcohol-specific conditions </w:t>
            </w:r>
            <w:r w:rsidRPr="00C970C7">
              <w:rPr>
                <w:sz w:val="24"/>
                <w:szCs w:val="24"/>
              </w:rPr>
              <w:t>–</w:t>
            </w:r>
            <w:r>
              <w:rPr>
                <w:sz w:val="24"/>
                <w:szCs w:val="24"/>
              </w:rPr>
              <w:t xml:space="preserve"> revised definition (admissions rather than person-based), extended trend data and update to 2013/14-2015/16 (three financial years pooled).</w:t>
            </w:r>
          </w:p>
          <w:p w14:paraId="4071A06D" w14:textId="77777777" w:rsidR="00CF6E95" w:rsidRPr="004A48D0" w:rsidRDefault="00CF6E95" w:rsidP="00F37F00">
            <w:pPr>
              <w:pStyle w:val="ListParagraph"/>
              <w:numPr>
                <w:ilvl w:val="0"/>
                <w:numId w:val="19"/>
              </w:numPr>
              <w:ind w:right="-300"/>
              <w:rPr>
                <w:sz w:val="24"/>
                <w:szCs w:val="24"/>
              </w:rPr>
            </w:pPr>
            <w:r w:rsidRPr="004A48D0">
              <w:rPr>
                <w:sz w:val="24"/>
                <w:szCs w:val="24"/>
              </w:rPr>
              <w:t xml:space="preserve">New functions </w:t>
            </w:r>
            <w:r>
              <w:rPr>
                <w:sz w:val="24"/>
                <w:szCs w:val="24"/>
              </w:rPr>
              <w:t xml:space="preserve">added </w:t>
            </w:r>
            <w:r w:rsidRPr="004A48D0">
              <w:rPr>
                <w:sz w:val="24"/>
                <w:szCs w:val="24"/>
              </w:rPr>
              <w:t>to the tool:</w:t>
            </w:r>
          </w:p>
          <w:p w14:paraId="62245D72" w14:textId="77777777" w:rsidR="00CF6E95" w:rsidRPr="004A48D0" w:rsidRDefault="00CF6E95" w:rsidP="00F37F00">
            <w:pPr>
              <w:numPr>
                <w:ilvl w:val="0"/>
                <w:numId w:val="20"/>
              </w:numPr>
              <w:rPr>
                <w:sz w:val="24"/>
                <w:szCs w:val="24"/>
              </w:rPr>
            </w:pPr>
            <w:r w:rsidRPr="004A48D0">
              <w:rPr>
                <w:sz w:val="24"/>
                <w:szCs w:val="24"/>
              </w:rPr>
              <w:t>Inequalities view for some indicators</w:t>
            </w:r>
          </w:p>
          <w:p w14:paraId="2821D52D" w14:textId="77777777" w:rsidR="00CF6E95" w:rsidRDefault="00CF6E95" w:rsidP="00F37F00">
            <w:pPr>
              <w:numPr>
                <w:ilvl w:val="0"/>
                <w:numId w:val="20"/>
              </w:numPr>
              <w:rPr>
                <w:sz w:val="24"/>
                <w:szCs w:val="24"/>
              </w:rPr>
            </w:pPr>
            <w:r w:rsidRPr="004A48D0">
              <w:rPr>
                <w:sz w:val="24"/>
                <w:szCs w:val="24"/>
              </w:rPr>
              <w:t>England view</w:t>
            </w:r>
          </w:p>
          <w:p w14:paraId="34FBF55E" w14:textId="77777777" w:rsidR="00CF6E95" w:rsidRPr="00716B28" w:rsidRDefault="00CF6E95" w:rsidP="00F37F00">
            <w:pPr>
              <w:numPr>
                <w:ilvl w:val="0"/>
                <w:numId w:val="20"/>
              </w:numPr>
              <w:rPr>
                <w:sz w:val="24"/>
                <w:szCs w:val="24"/>
              </w:rPr>
            </w:pPr>
            <w:r w:rsidRPr="00716B28">
              <w:rPr>
                <w:sz w:val="24"/>
                <w:szCs w:val="24"/>
              </w:rPr>
              <w:t>Population pyramid view</w:t>
            </w:r>
          </w:p>
          <w:p w14:paraId="4100DEB5" w14:textId="77777777" w:rsidR="00CF6E95" w:rsidRDefault="00CF6E95" w:rsidP="00F37F00">
            <w:pPr>
              <w:numPr>
                <w:ilvl w:val="0"/>
                <w:numId w:val="20"/>
              </w:numPr>
              <w:rPr>
                <w:sz w:val="24"/>
                <w:szCs w:val="24"/>
              </w:rPr>
            </w:pPr>
            <w:r w:rsidRPr="00716B28">
              <w:rPr>
                <w:sz w:val="24"/>
                <w:szCs w:val="24"/>
              </w:rPr>
              <w:t>Box plot view</w:t>
            </w:r>
          </w:p>
          <w:p w14:paraId="596C8B23" w14:textId="77777777" w:rsidR="00CF6E95" w:rsidRPr="00CF6E95" w:rsidRDefault="00CF6E95" w:rsidP="00CF6E95">
            <w:pPr>
              <w:numPr>
                <w:ilvl w:val="0"/>
                <w:numId w:val="20"/>
              </w:numPr>
              <w:rPr>
                <w:sz w:val="24"/>
                <w:szCs w:val="24"/>
              </w:rPr>
            </w:pPr>
            <w:r w:rsidRPr="00E07A74">
              <w:rPr>
                <w:sz w:val="24"/>
                <w:szCs w:val="24"/>
              </w:rPr>
              <w:t xml:space="preserve">‘Combined authorities’ groups added to the ‘Areas grouped by’ – </w:t>
            </w:r>
            <w:r>
              <w:rPr>
                <w:sz w:val="24"/>
                <w:szCs w:val="24"/>
              </w:rPr>
              <w:t xml:space="preserve">some </w:t>
            </w:r>
            <w:r w:rsidRPr="00E07A74">
              <w:rPr>
                <w:sz w:val="24"/>
                <w:szCs w:val="24"/>
              </w:rPr>
              <w:t>local authorities are grouped into 9 combined authorities in England.</w:t>
            </w:r>
          </w:p>
        </w:tc>
      </w:tr>
      <w:tr w:rsidR="00CF6E95" w:rsidRPr="00770905" w14:paraId="43B3160E" w14:textId="77777777" w:rsidTr="0020488A">
        <w:tc>
          <w:tcPr>
            <w:tcW w:w="2184" w:type="dxa"/>
            <w:shd w:val="clear" w:color="auto" w:fill="auto"/>
          </w:tcPr>
          <w:p w14:paraId="2F422711" w14:textId="77777777" w:rsidR="00CF6E95" w:rsidRPr="00DB583C" w:rsidRDefault="00CF6E95" w:rsidP="00F37F00">
            <w:pPr>
              <w:rPr>
                <w:sz w:val="28"/>
                <w:szCs w:val="28"/>
              </w:rPr>
            </w:pPr>
            <w:r>
              <w:rPr>
                <w:i/>
                <w:sz w:val="28"/>
                <w:szCs w:val="28"/>
              </w:rPr>
              <w:t>July</w:t>
            </w:r>
          </w:p>
        </w:tc>
        <w:tc>
          <w:tcPr>
            <w:tcW w:w="7739" w:type="dxa"/>
            <w:shd w:val="clear" w:color="auto" w:fill="auto"/>
          </w:tcPr>
          <w:p w14:paraId="17E19237" w14:textId="77777777" w:rsidR="00CF6E95" w:rsidRDefault="00CF6E95" w:rsidP="00F37F00">
            <w:pPr>
              <w:pStyle w:val="ListParagraph"/>
              <w:ind w:left="357"/>
              <w:rPr>
                <w:sz w:val="24"/>
                <w:szCs w:val="24"/>
              </w:rPr>
            </w:pPr>
          </w:p>
        </w:tc>
      </w:tr>
      <w:tr w:rsidR="00CF6E95" w:rsidRPr="00770905" w14:paraId="7F1053FA" w14:textId="77777777" w:rsidTr="0020488A">
        <w:tc>
          <w:tcPr>
            <w:tcW w:w="2184" w:type="dxa"/>
            <w:shd w:val="clear" w:color="auto" w:fill="auto"/>
          </w:tcPr>
          <w:p w14:paraId="4861FB44" w14:textId="77777777" w:rsidR="00CF6E95" w:rsidRPr="00DB583C" w:rsidRDefault="00CF6E95" w:rsidP="00F37F00">
            <w:pPr>
              <w:rPr>
                <w:sz w:val="28"/>
                <w:szCs w:val="28"/>
              </w:rPr>
            </w:pPr>
          </w:p>
        </w:tc>
        <w:tc>
          <w:tcPr>
            <w:tcW w:w="7739" w:type="dxa"/>
            <w:shd w:val="clear" w:color="auto" w:fill="auto"/>
          </w:tcPr>
          <w:p w14:paraId="71F133EB" w14:textId="77777777" w:rsidR="00CF6E95" w:rsidRDefault="00CF6E95" w:rsidP="00F37F00">
            <w:pPr>
              <w:pStyle w:val="ListParagraph"/>
              <w:numPr>
                <w:ilvl w:val="0"/>
                <w:numId w:val="4"/>
              </w:numPr>
              <w:ind w:left="357" w:hanging="357"/>
              <w:rPr>
                <w:sz w:val="24"/>
                <w:szCs w:val="24"/>
              </w:rPr>
            </w:pPr>
            <w:r w:rsidRPr="000946DE">
              <w:rPr>
                <w:sz w:val="24"/>
                <w:szCs w:val="24"/>
              </w:rPr>
              <w:t>Pelvic inflammatory disease admissions</w:t>
            </w:r>
            <w:r>
              <w:rPr>
                <w:sz w:val="24"/>
                <w:szCs w:val="24"/>
              </w:rPr>
              <w:t xml:space="preserve"> indicator update to 2015/16 </w:t>
            </w:r>
          </w:p>
          <w:p w14:paraId="4D61C4DE" w14:textId="77777777" w:rsidR="00CF6E95" w:rsidRDefault="00CF6E95" w:rsidP="00F37F00">
            <w:pPr>
              <w:pStyle w:val="ListParagraph"/>
              <w:numPr>
                <w:ilvl w:val="0"/>
                <w:numId w:val="4"/>
              </w:numPr>
              <w:ind w:left="357" w:hanging="357"/>
              <w:rPr>
                <w:sz w:val="24"/>
                <w:szCs w:val="24"/>
              </w:rPr>
            </w:pPr>
            <w:r w:rsidRPr="007950BD">
              <w:rPr>
                <w:sz w:val="24"/>
                <w:szCs w:val="24"/>
              </w:rPr>
              <w:t>Ectopic pregnancy adm</w:t>
            </w:r>
            <w:r>
              <w:rPr>
                <w:sz w:val="24"/>
                <w:szCs w:val="24"/>
              </w:rPr>
              <w:t>ission indicator update to 2015/16</w:t>
            </w:r>
          </w:p>
          <w:p w14:paraId="3ACA5449" w14:textId="77777777" w:rsidR="00CF6E95" w:rsidRPr="00DE244C" w:rsidRDefault="00CF6E95" w:rsidP="00F37F00">
            <w:pPr>
              <w:pStyle w:val="ListParagraph"/>
              <w:numPr>
                <w:ilvl w:val="0"/>
                <w:numId w:val="4"/>
              </w:numPr>
              <w:ind w:left="357" w:hanging="357"/>
              <w:rPr>
                <w:sz w:val="24"/>
                <w:szCs w:val="24"/>
              </w:rPr>
            </w:pPr>
            <w:r>
              <w:rPr>
                <w:sz w:val="24"/>
                <w:szCs w:val="24"/>
              </w:rPr>
              <w:lastRenderedPageBreak/>
              <w:t xml:space="preserve">England totals 2008/09 to 2014/15 also revised for these 2 indicators to include admissions </w:t>
            </w:r>
            <w:proofErr w:type="gramStart"/>
            <w:r>
              <w:rPr>
                <w:sz w:val="24"/>
                <w:szCs w:val="24"/>
              </w:rPr>
              <w:t>not assigned</w:t>
            </w:r>
            <w:proofErr w:type="gramEnd"/>
            <w:r>
              <w:rPr>
                <w:sz w:val="24"/>
                <w:szCs w:val="24"/>
              </w:rPr>
              <w:t xml:space="preserve"> an area of residence</w:t>
            </w:r>
          </w:p>
        </w:tc>
      </w:tr>
      <w:tr w:rsidR="00CF6E95" w:rsidRPr="00770905" w14:paraId="6BE90279" w14:textId="77777777" w:rsidTr="0020488A">
        <w:tc>
          <w:tcPr>
            <w:tcW w:w="2184" w:type="dxa"/>
            <w:shd w:val="clear" w:color="auto" w:fill="auto"/>
          </w:tcPr>
          <w:p w14:paraId="30728765" w14:textId="77777777" w:rsidR="00CF6E95" w:rsidRDefault="00CF6E95" w:rsidP="00F37F00">
            <w:pPr>
              <w:rPr>
                <w:i/>
                <w:sz w:val="28"/>
                <w:szCs w:val="28"/>
              </w:rPr>
            </w:pPr>
            <w:r>
              <w:rPr>
                <w:i/>
                <w:sz w:val="28"/>
                <w:szCs w:val="28"/>
              </w:rPr>
              <w:lastRenderedPageBreak/>
              <w:t>August</w:t>
            </w:r>
          </w:p>
        </w:tc>
        <w:tc>
          <w:tcPr>
            <w:tcW w:w="7739" w:type="dxa"/>
            <w:shd w:val="clear" w:color="auto" w:fill="auto"/>
          </w:tcPr>
          <w:p w14:paraId="34C104FC" w14:textId="77777777" w:rsidR="00CF6E95" w:rsidRPr="007F392D" w:rsidRDefault="00CF6E95" w:rsidP="00F37F00">
            <w:pPr>
              <w:rPr>
                <w:i/>
                <w:sz w:val="28"/>
                <w:szCs w:val="28"/>
              </w:rPr>
            </w:pPr>
          </w:p>
        </w:tc>
      </w:tr>
      <w:tr w:rsidR="00CF6E95" w:rsidRPr="00770905" w14:paraId="7726142A" w14:textId="77777777" w:rsidTr="0020488A">
        <w:tc>
          <w:tcPr>
            <w:tcW w:w="2184" w:type="dxa"/>
            <w:shd w:val="clear" w:color="auto" w:fill="auto"/>
          </w:tcPr>
          <w:p w14:paraId="6510CE5F" w14:textId="77777777" w:rsidR="00CF6E95" w:rsidRDefault="00CF6E95" w:rsidP="00F37F00">
            <w:pPr>
              <w:rPr>
                <w:i/>
                <w:sz w:val="28"/>
                <w:szCs w:val="28"/>
              </w:rPr>
            </w:pPr>
          </w:p>
        </w:tc>
        <w:tc>
          <w:tcPr>
            <w:tcW w:w="7739" w:type="dxa"/>
            <w:shd w:val="clear" w:color="auto" w:fill="auto"/>
          </w:tcPr>
          <w:p w14:paraId="50C9FA70" w14:textId="77777777" w:rsidR="00CF6E95" w:rsidRDefault="00CF6E95" w:rsidP="00F37F00">
            <w:pPr>
              <w:rPr>
                <w:rFonts w:cs="Helvetica"/>
                <w:color w:val="333333"/>
                <w:sz w:val="24"/>
                <w:szCs w:val="24"/>
                <w:shd w:val="clear" w:color="auto" w:fill="FFFFFF"/>
              </w:rPr>
            </w:pPr>
            <w:r>
              <w:rPr>
                <w:sz w:val="28"/>
                <w:szCs w:val="28"/>
              </w:rPr>
              <w:t xml:space="preserve">•   </w:t>
            </w:r>
            <w:r w:rsidRPr="00D07BE4">
              <w:rPr>
                <w:sz w:val="24"/>
                <w:szCs w:val="24"/>
              </w:rPr>
              <w:t xml:space="preserve">Abortion indicators update to 2016. </w:t>
            </w:r>
            <w:r w:rsidRPr="00D07BE4">
              <w:rPr>
                <w:rFonts w:cs="Helvetica"/>
                <w:color w:val="333333"/>
                <w:sz w:val="24"/>
                <w:szCs w:val="24"/>
                <w:shd w:val="clear" w:color="auto" w:fill="FFFFFF"/>
              </w:rPr>
              <w:t xml:space="preserve">(Note: </w:t>
            </w:r>
            <w:proofErr w:type="spellStart"/>
            <w:r w:rsidRPr="00D07BE4">
              <w:rPr>
                <w:rFonts w:cs="Helvetica"/>
                <w:color w:val="333333"/>
                <w:sz w:val="24"/>
                <w:szCs w:val="24"/>
                <w:shd w:val="clear" w:color="auto" w:fill="FFFFFF"/>
              </w:rPr>
              <w:t>i</w:t>
            </w:r>
            <w:proofErr w:type="spellEnd"/>
            <w:r w:rsidRPr="00D07BE4">
              <w:rPr>
                <w:rFonts w:cs="Helvetica"/>
                <w:color w:val="333333"/>
                <w:sz w:val="24"/>
                <w:szCs w:val="24"/>
                <w:shd w:val="clear" w:color="auto" w:fill="FFFFFF"/>
              </w:rPr>
              <w:t xml:space="preserve">) </w:t>
            </w:r>
            <w:r>
              <w:rPr>
                <w:rFonts w:cs="Helvetica"/>
                <w:color w:val="333333"/>
                <w:sz w:val="24"/>
                <w:szCs w:val="24"/>
                <w:shd w:val="clear" w:color="auto" w:fill="FFFFFF"/>
              </w:rPr>
              <w:t>reflects small adjustments that</w:t>
            </w:r>
          </w:p>
          <w:p w14:paraId="6F99720D" w14:textId="77777777" w:rsidR="00CF6E95" w:rsidRDefault="00CF6E95" w:rsidP="00F37F00">
            <w:pPr>
              <w:rPr>
                <w:rFonts w:cs="Helvetica"/>
                <w:color w:val="333333"/>
                <w:sz w:val="24"/>
                <w:szCs w:val="24"/>
                <w:shd w:val="clear" w:color="auto" w:fill="FFFFFF"/>
              </w:rPr>
            </w:pPr>
            <w:r>
              <w:rPr>
                <w:rFonts w:cs="Helvetica"/>
                <w:color w:val="333333"/>
                <w:sz w:val="24"/>
                <w:szCs w:val="24"/>
                <w:shd w:val="clear" w:color="auto" w:fill="FFFFFF"/>
              </w:rPr>
              <w:t xml:space="preserve">      </w:t>
            </w:r>
            <w:r w:rsidRPr="00D07BE4">
              <w:rPr>
                <w:rFonts w:cs="Helvetica"/>
                <w:color w:val="333333"/>
                <w:sz w:val="24"/>
                <w:szCs w:val="24"/>
                <w:shd w:val="clear" w:color="auto" w:fill="FFFFFF"/>
              </w:rPr>
              <w:t>the Dept</w:t>
            </w:r>
            <w:r>
              <w:rPr>
                <w:rFonts w:cs="Helvetica"/>
                <w:color w:val="333333"/>
                <w:sz w:val="24"/>
                <w:szCs w:val="24"/>
                <w:shd w:val="clear" w:color="auto" w:fill="FFFFFF"/>
              </w:rPr>
              <w:t>.</w:t>
            </w:r>
            <w:r w:rsidRPr="00D07BE4">
              <w:rPr>
                <w:rFonts w:cs="Helvetica"/>
                <w:color w:val="333333"/>
                <w:sz w:val="24"/>
                <w:szCs w:val="24"/>
                <w:shd w:val="clear" w:color="auto" w:fill="FFFFFF"/>
              </w:rPr>
              <w:t xml:space="preserve"> of Health will shortly make to their online abortion statistics </w:t>
            </w:r>
            <w:r>
              <w:rPr>
                <w:rFonts w:cs="Helvetica"/>
                <w:color w:val="333333"/>
                <w:sz w:val="24"/>
                <w:szCs w:val="24"/>
                <w:shd w:val="clear" w:color="auto" w:fill="FFFFFF"/>
              </w:rPr>
              <w:t xml:space="preserve">      </w:t>
            </w:r>
          </w:p>
          <w:p w14:paraId="6CB954FB" w14:textId="77777777" w:rsidR="00CF6E95" w:rsidRDefault="00CF6E95" w:rsidP="00F37F00">
            <w:pPr>
              <w:rPr>
                <w:rFonts w:cs="Helvetica"/>
                <w:color w:val="333333"/>
                <w:sz w:val="24"/>
                <w:szCs w:val="24"/>
                <w:shd w:val="clear" w:color="auto" w:fill="FFFFFF"/>
              </w:rPr>
            </w:pPr>
            <w:r>
              <w:rPr>
                <w:rFonts w:cs="Helvetica"/>
                <w:color w:val="333333"/>
                <w:sz w:val="24"/>
                <w:szCs w:val="24"/>
                <w:shd w:val="clear" w:color="auto" w:fill="FFFFFF"/>
              </w:rPr>
              <w:t xml:space="preserve">      </w:t>
            </w:r>
            <w:r w:rsidRPr="00D07BE4">
              <w:rPr>
                <w:rFonts w:cs="Helvetica"/>
                <w:color w:val="333333"/>
                <w:sz w:val="24"/>
                <w:szCs w:val="24"/>
                <w:shd w:val="clear" w:color="auto" w:fill="FFFFFF"/>
              </w:rPr>
              <w:t xml:space="preserve">ii) abortions over 10 weeks that are medical indicator considered less useful </w:t>
            </w:r>
          </w:p>
          <w:p w14:paraId="1CFE0F8E" w14:textId="77777777" w:rsidR="00CF6E95" w:rsidRPr="00D07BE4" w:rsidRDefault="00CF6E95" w:rsidP="00F37F00">
            <w:pPr>
              <w:rPr>
                <w:sz w:val="24"/>
                <w:szCs w:val="24"/>
              </w:rPr>
            </w:pPr>
            <w:r>
              <w:rPr>
                <w:rFonts w:cs="Helvetica"/>
                <w:color w:val="333333"/>
                <w:sz w:val="24"/>
                <w:szCs w:val="24"/>
                <w:shd w:val="clear" w:color="auto" w:fill="FFFFFF"/>
              </w:rPr>
              <w:t xml:space="preserve">      </w:t>
            </w:r>
            <w:proofErr w:type="gramStart"/>
            <w:r w:rsidRPr="00D07BE4">
              <w:rPr>
                <w:rFonts w:cs="Helvetica"/>
                <w:color w:val="333333"/>
                <w:sz w:val="24"/>
                <w:szCs w:val="24"/>
                <w:shd w:val="clear" w:color="auto" w:fill="FFFFFF"/>
              </w:rPr>
              <w:t>so</w:t>
            </w:r>
            <w:proofErr w:type="gramEnd"/>
            <w:r w:rsidRPr="00D07BE4">
              <w:rPr>
                <w:rFonts w:cs="Helvetica"/>
                <w:color w:val="333333"/>
                <w:sz w:val="24"/>
                <w:szCs w:val="24"/>
                <w:shd w:val="clear" w:color="auto" w:fill="FFFFFF"/>
              </w:rPr>
              <w:t xml:space="preserve"> has been removed).</w:t>
            </w:r>
            <w:r w:rsidRPr="00D07BE4">
              <w:rPr>
                <w:sz w:val="24"/>
                <w:szCs w:val="24"/>
              </w:rPr>
              <w:t xml:space="preserve"> </w:t>
            </w:r>
          </w:p>
          <w:p w14:paraId="59A7837D" w14:textId="77777777" w:rsidR="00CF6E95" w:rsidRDefault="00CF6E95" w:rsidP="00F37F00">
            <w:pPr>
              <w:rPr>
                <w:sz w:val="24"/>
                <w:szCs w:val="24"/>
              </w:rPr>
            </w:pPr>
            <w:r>
              <w:rPr>
                <w:sz w:val="28"/>
                <w:szCs w:val="28"/>
              </w:rPr>
              <w:t xml:space="preserve">•   </w:t>
            </w:r>
            <w:r>
              <w:rPr>
                <w:sz w:val="24"/>
                <w:szCs w:val="24"/>
              </w:rPr>
              <w:t>Pupil absence indicator update to 2015/16</w:t>
            </w:r>
          </w:p>
          <w:p w14:paraId="0A6C4880" w14:textId="77777777" w:rsidR="00CF6E95" w:rsidRPr="00F10410" w:rsidRDefault="00CF6E95" w:rsidP="00F37F00">
            <w:pPr>
              <w:rPr>
                <w:sz w:val="24"/>
                <w:szCs w:val="24"/>
              </w:rPr>
            </w:pPr>
            <w:r>
              <w:rPr>
                <w:sz w:val="28"/>
                <w:szCs w:val="28"/>
              </w:rPr>
              <w:t xml:space="preserve">•   </w:t>
            </w:r>
            <w:r>
              <w:rPr>
                <w:sz w:val="24"/>
                <w:szCs w:val="24"/>
              </w:rPr>
              <w:t>First time entrants to youth justice system indicator update to 2015/16</w:t>
            </w:r>
          </w:p>
        </w:tc>
      </w:tr>
      <w:tr w:rsidR="00CF6E95" w:rsidRPr="00770905" w14:paraId="135518CE" w14:textId="77777777" w:rsidTr="0020488A">
        <w:tc>
          <w:tcPr>
            <w:tcW w:w="2184" w:type="dxa"/>
            <w:shd w:val="clear" w:color="auto" w:fill="auto"/>
          </w:tcPr>
          <w:p w14:paraId="0AE07BE8" w14:textId="77777777" w:rsidR="00CF6E95" w:rsidRPr="007F392D" w:rsidRDefault="00CF6E95" w:rsidP="00F37F00">
            <w:pPr>
              <w:rPr>
                <w:i/>
                <w:sz w:val="28"/>
                <w:szCs w:val="28"/>
              </w:rPr>
            </w:pPr>
            <w:r>
              <w:rPr>
                <w:i/>
                <w:sz w:val="28"/>
                <w:szCs w:val="28"/>
              </w:rPr>
              <w:t>October</w:t>
            </w:r>
          </w:p>
        </w:tc>
        <w:tc>
          <w:tcPr>
            <w:tcW w:w="7739" w:type="dxa"/>
            <w:shd w:val="clear" w:color="auto" w:fill="auto"/>
          </w:tcPr>
          <w:p w14:paraId="60FE3571" w14:textId="77777777" w:rsidR="00CF6E95" w:rsidRPr="007F392D" w:rsidRDefault="00CF6E95" w:rsidP="00F37F00">
            <w:pPr>
              <w:rPr>
                <w:i/>
                <w:sz w:val="28"/>
                <w:szCs w:val="28"/>
              </w:rPr>
            </w:pPr>
          </w:p>
        </w:tc>
      </w:tr>
      <w:tr w:rsidR="00CF6E95" w:rsidRPr="00770905" w14:paraId="1ACF8F78" w14:textId="77777777" w:rsidTr="0020488A">
        <w:tc>
          <w:tcPr>
            <w:tcW w:w="2184" w:type="dxa"/>
            <w:shd w:val="clear" w:color="auto" w:fill="auto"/>
          </w:tcPr>
          <w:p w14:paraId="42A547C4" w14:textId="77777777" w:rsidR="00CF6E95" w:rsidRPr="007F392D" w:rsidRDefault="00CF6E95" w:rsidP="00F37F00">
            <w:pPr>
              <w:rPr>
                <w:i/>
                <w:sz w:val="28"/>
                <w:szCs w:val="28"/>
              </w:rPr>
            </w:pPr>
          </w:p>
        </w:tc>
        <w:tc>
          <w:tcPr>
            <w:tcW w:w="7739" w:type="dxa"/>
            <w:shd w:val="clear" w:color="auto" w:fill="auto"/>
          </w:tcPr>
          <w:p w14:paraId="59BEF521" w14:textId="77777777" w:rsidR="00CF6E95" w:rsidRPr="00AF341C" w:rsidRDefault="00CF6E95" w:rsidP="00F37F00">
            <w:pPr>
              <w:numPr>
                <w:ilvl w:val="0"/>
                <w:numId w:val="1"/>
              </w:numPr>
              <w:rPr>
                <w:sz w:val="24"/>
                <w:szCs w:val="24"/>
              </w:rPr>
            </w:pPr>
            <w:r w:rsidRPr="00AF341C">
              <w:rPr>
                <w:sz w:val="24"/>
                <w:szCs w:val="24"/>
              </w:rPr>
              <w:t>People presenting with HIV at a late stage of infection: update to include revision of previously published data and new data point for the calendar year 201</w:t>
            </w:r>
            <w:r>
              <w:rPr>
                <w:sz w:val="24"/>
                <w:szCs w:val="24"/>
              </w:rPr>
              <w:t>6</w:t>
            </w:r>
            <w:r w:rsidRPr="00AF341C">
              <w:rPr>
                <w:sz w:val="24"/>
                <w:szCs w:val="24"/>
              </w:rPr>
              <w:t xml:space="preserve"> (shown as years 201</w:t>
            </w:r>
            <w:r>
              <w:rPr>
                <w:sz w:val="24"/>
                <w:szCs w:val="24"/>
              </w:rPr>
              <w:t>4</w:t>
            </w:r>
            <w:r w:rsidRPr="00AF341C">
              <w:rPr>
                <w:sz w:val="24"/>
                <w:szCs w:val="24"/>
              </w:rPr>
              <w:t>, 201</w:t>
            </w:r>
            <w:r>
              <w:rPr>
                <w:sz w:val="24"/>
                <w:szCs w:val="24"/>
              </w:rPr>
              <w:t>5</w:t>
            </w:r>
            <w:r w:rsidRPr="00AF341C">
              <w:rPr>
                <w:sz w:val="24"/>
                <w:szCs w:val="24"/>
              </w:rPr>
              <w:t xml:space="preserve"> &amp; 201</w:t>
            </w:r>
            <w:r>
              <w:rPr>
                <w:sz w:val="24"/>
                <w:szCs w:val="24"/>
              </w:rPr>
              <w:t>6</w:t>
            </w:r>
            <w:r w:rsidRPr="00AF341C">
              <w:rPr>
                <w:sz w:val="24"/>
                <w:szCs w:val="24"/>
              </w:rPr>
              <w:t xml:space="preserve"> combined).</w:t>
            </w:r>
          </w:p>
          <w:p w14:paraId="0DCEE568" w14:textId="77777777" w:rsidR="00CF6E95" w:rsidRPr="00AF341C" w:rsidRDefault="00CF6E95" w:rsidP="00F37F00">
            <w:pPr>
              <w:numPr>
                <w:ilvl w:val="0"/>
                <w:numId w:val="1"/>
              </w:numPr>
              <w:rPr>
                <w:sz w:val="24"/>
                <w:szCs w:val="24"/>
              </w:rPr>
            </w:pPr>
            <w:r w:rsidRPr="00AF341C">
              <w:rPr>
                <w:sz w:val="24"/>
                <w:szCs w:val="24"/>
              </w:rPr>
              <w:t>Prevalence of diagnosed HIV infection per 1,000 persons aged 15-59 years: update to include revision of previously published data and new data point for the calendar year 201</w:t>
            </w:r>
            <w:r>
              <w:rPr>
                <w:sz w:val="24"/>
                <w:szCs w:val="24"/>
              </w:rPr>
              <w:t>6</w:t>
            </w:r>
            <w:r w:rsidRPr="00AF341C">
              <w:rPr>
                <w:sz w:val="24"/>
                <w:szCs w:val="24"/>
              </w:rPr>
              <w:t>.</w:t>
            </w:r>
          </w:p>
          <w:p w14:paraId="55438845" w14:textId="77777777" w:rsidR="00CF6E95" w:rsidRPr="00AF341C" w:rsidRDefault="00CF6E95" w:rsidP="00F37F00">
            <w:pPr>
              <w:pStyle w:val="ListParagraph"/>
              <w:numPr>
                <w:ilvl w:val="0"/>
                <w:numId w:val="1"/>
              </w:numPr>
              <w:rPr>
                <w:sz w:val="24"/>
                <w:szCs w:val="24"/>
              </w:rPr>
            </w:pPr>
            <w:r w:rsidRPr="00AF341C">
              <w:rPr>
                <w:sz w:val="24"/>
                <w:szCs w:val="24"/>
              </w:rPr>
              <w:t>New HIV diagnosis rate per 100,000 aged 15+ update to include revision of previously published data and new data point for the calendar year 201</w:t>
            </w:r>
            <w:r>
              <w:rPr>
                <w:sz w:val="24"/>
                <w:szCs w:val="24"/>
              </w:rPr>
              <w:t>6</w:t>
            </w:r>
            <w:r w:rsidRPr="00AF341C">
              <w:rPr>
                <w:sz w:val="24"/>
                <w:szCs w:val="24"/>
              </w:rPr>
              <w:t>.</w:t>
            </w:r>
          </w:p>
        </w:tc>
      </w:tr>
      <w:tr w:rsidR="00CF6E95" w:rsidRPr="00770905" w14:paraId="5358FE95" w14:textId="77777777" w:rsidTr="0020488A">
        <w:tc>
          <w:tcPr>
            <w:tcW w:w="2184" w:type="dxa"/>
            <w:shd w:val="clear" w:color="auto" w:fill="auto"/>
          </w:tcPr>
          <w:p w14:paraId="27BF9E40" w14:textId="77777777" w:rsidR="00CF6E95" w:rsidRPr="007F392D" w:rsidRDefault="00CF6E95" w:rsidP="00F37F00">
            <w:pPr>
              <w:rPr>
                <w:i/>
                <w:sz w:val="28"/>
                <w:szCs w:val="28"/>
              </w:rPr>
            </w:pPr>
            <w:r>
              <w:rPr>
                <w:i/>
                <w:sz w:val="28"/>
                <w:szCs w:val="28"/>
              </w:rPr>
              <w:t>November</w:t>
            </w:r>
          </w:p>
        </w:tc>
        <w:tc>
          <w:tcPr>
            <w:tcW w:w="7739" w:type="dxa"/>
            <w:shd w:val="clear" w:color="auto" w:fill="auto"/>
          </w:tcPr>
          <w:p w14:paraId="7D26C4CE" w14:textId="77777777" w:rsidR="00CF6E95" w:rsidRPr="007F392D" w:rsidRDefault="00CF6E95" w:rsidP="00F37F00">
            <w:pPr>
              <w:rPr>
                <w:i/>
                <w:sz w:val="28"/>
                <w:szCs w:val="28"/>
              </w:rPr>
            </w:pPr>
          </w:p>
        </w:tc>
      </w:tr>
      <w:tr w:rsidR="00CF6E95" w:rsidRPr="00770905" w14:paraId="4E08D488" w14:textId="77777777" w:rsidTr="0020488A">
        <w:tc>
          <w:tcPr>
            <w:tcW w:w="2184" w:type="dxa"/>
            <w:shd w:val="clear" w:color="auto" w:fill="auto"/>
          </w:tcPr>
          <w:p w14:paraId="182B7BC3" w14:textId="77777777" w:rsidR="00CF6E95" w:rsidRPr="007F392D" w:rsidRDefault="00CF6E95" w:rsidP="00F37F00">
            <w:pPr>
              <w:rPr>
                <w:i/>
                <w:sz w:val="28"/>
                <w:szCs w:val="28"/>
              </w:rPr>
            </w:pPr>
          </w:p>
        </w:tc>
        <w:tc>
          <w:tcPr>
            <w:tcW w:w="7739" w:type="dxa"/>
            <w:shd w:val="clear" w:color="auto" w:fill="auto"/>
          </w:tcPr>
          <w:p w14:paraId="5737B551" w14:textId="77777777" w:rsidR="00CF6E95" w:rsidRDefault="00CF6E95" w:rsidP="00F37F00">
            <w:pPr>
              <w:pStyle w:val="ListParagraph"/>
              <w:numPr>
                <w:ilvl w:val="0"/>
                <w:numId w:val="1"/>
              </w:numPr>
              <w:ind w:left="293" w:right="-250" w:hanging="259"/>
              <w:rPr>
                <w:sz w:val="24"/>
                <w:szCs w:val="24"/>
              </w:rPr>
            </w:pPr>
            <w:r>
              <w:rPr>
                <w:sz w:val="24"/>
                <w:szCs w:val="24"/>
              </w:rPr>
              <w:t xml:space="preserve">Contraception indicators update to 2016. Subsequent error detected and </w:t>
            </w:r>
          </w:p>
          <w:p w14:paraId="0F33B73A" w14:textId="77777777" w:rsidR="00CF6E95" w:rsidRPr="00D7540E" w:rsidRDefault="00CF6E95" w:rsidP="00F37F00">
            <w:pPr>
              <w:pStyle w:val="ListParagraph"/>
              <w:ind w:left="293" w:right="-250"/>
              <w:rPr>
                <w:sz w:val="24"/>
                <w:szCs w:val="24"/>
              </w:rPr>
            </w:pPr>
            <w:r>
              <w:rPr>
                <w:sz w:val="24"/>
                <w:szCs w:val="24"/>
              </w:rPr>
              <w:t>2016 data removed for 2 related indicators: SRH services prescribed LARC         and Total prescribed LARC.</w:t>
            </w:r>
          </w:p>
        </w:tc>
      </w:tr>
      <w:tr w:rsidR="00CF6E95" w:rsidRPr="00770905" w14:paraId="3690EB87" w14:textId="77777777" w:rsidTr="0020488A">
        <w:tc>
          <w:tcPr>
            <w:tcW w:w="2184" w:type="dxa"/>
            <w:shd w:val="clear" w:color="auto" w:fill="auto"/>
          </w:tcPr>
          <w:p w14:paraId="43CE428B" w14:textId="77777777" w:rsidR="00CF6E95" w:rsidRDefault="00CF6E95" w:rsidP="00F37F00">
            <w:pPr>
              <w:rPr>
                <w:i/>
                <w:sz w:val="28"/>
                <w:szCs w:val="28"/>
              </w:rPr>
            </w:pPr>
            <w:r>
              <w:rPr>
                <w:i/>
                <w:sz w:val="28"/>
                <w:szCs w:val="28"/>
              </w:rPr>
              <w:t>December</w:t>
            </w:r>
          </w:p>
        </w:tc>
        <w:tc>
          <w:tcPr>
            <w:tcW w:w="7739" w:type="dxa"/>
            <w:shd w:val="clear" w:color="auto" w:fill="auto"/>
          </w:tcPr>
          <w:p w14:paraId="5ADB9FDE" w14:textId="77777777" w:rsidR="00CF6E95" w:rsidRPr="0045648D" w:rsidRDefault="00CF6E95" w:rsidP="00F37F00">
            <w:pPr>
              <w:pStyle w:val="ListParagraph"/>
              <w:ind w:left="293" w:right="-300"/>
              <w:rPr>
                <w:sz w:val="24"/>
                <w:szCs w:val="24"/>
              </w:rPr>
            </w:pPr>
          </w:p>
        </w:tc>
      </w:tr>
      <w:tr w:rsidR="00CF6E95" w:rsidRPr="00770905" w14:paraId="0724464A" w14:textId="77777777" w:rsidTr="0020488A">
        <w:tc>
          <w:tcPr>
            <w:tcW w:w="2184" w:type="dxa"/>
            <w:shd w:val="clear" w:color="auto" w:fill="auto"/>
          </w:tcPr>
          <w:p w14:paraId="70A878C0" w14:textId="77777777" w:rsidR="00CF6E95" w:rsidRDefault="00CF6E95" w:rsidP="00F37F00">
            <w:pPr>
              <w:rPr>
                <w:i/>
                <w:sz w:val="28"/>
                <w:szCs w:val="28"/>
              </w:rPr>
            </w:pPr>
          </w:p>
        </w:tc>
        <w:tc>
          <w:tcPr>
            <w:tcW w:w="7739" w:type="dxa"/>
            <w:shd w:val="clear" w:color="auto" w:fill="auto"/>
          </w:tcPr>
          <w:p w14:paraId="0A2D4E5F" w14:textId="77777777" w:rsidR="00CF6E95" w:rsidRPr="0045648D" w:rsidRDefault="00CF6E95" w:rsidP="00F37F00">
            <w:pPr>
              <w:pStyle w:val="ListParagraph"/>
              <w:numPr>
                <w:ilvl w:val="0"/>
                <w:numId w:val="1"/>
              </w:numPr>
              <w:ind w:left="293" w:right="-300" w:hanging="259"/>
              <w:rPr>
                <w:sz w:val="24"/>
                <w:szCs w:val="24"/>
              </w:rPr>
            </w:pPr>
            <w:r>
              <w:rPr>
                <w:sz w:val="24"/>
                <w:szCs w:val="24"/>
              </w:rPr>
              <w:t>Revised SRH services prescribed LARC and total prescribed LARC, 2016</w:t>
            </w:r>
          </w:p>
        </w:tc>
      </w:tr>
    </w:tbl>
    <w:p w14:paraId="15A94C11" w14:textId="77777777" w:rsidR="00083EAB" w:rsidRDefault="00083EAB" w:rsidP="00083EAB">
      <w:pPr>
        <w:spacing w:after="0" w:line="240" w:lineRule="auto"/>
      </w:pPr>
    </w:p>
    <w:tbl>
      <w:tblPr>
        <w:tblStyle w:val="TableGrid"/>
        <w:tblW w:w="9923" w:type="dxa"/>
        <w:tblBorders>
          <w:left w:val="none" w:sz="0" w:space="0" w:color="auto"/>
          <w:right w:val="none" w:sz="0" w:space="0" w:color="auto"/>
        </w:tblBorders>
        <w:tblLook w:val="04A0" w:firstRow="1" w:lastRow="0" w:firstColumn="1" w:lastColumn="0" w:noHBand="0" w:noVBand="1"/>
      </w:tblPr>
      <w:tblGrid>
        <w:gridCol w:w="2184"/>
        <w:gridCol w:w="7739"/>
      </w:tblGrid>
      <w:tr w:rsidR="00CF6E95" w:rsidRPr="00770905" w14:paraId="1DBD9ABA" w14:textId="77777777" w:rsidTr="0020488A">
        <w:tc>
          <w:tcPr>
            <w:tcW w:w="2184" w:type="dxa"/>
            <w:shd w:val="clear" w:color="auto" w:fill="92CDDC" w:themeFill="accent5" w:themeFillTint="99"/>
          </w:tcPr>
          <w:p w14:paraId="1AD7F115" w14:textId="77777777" w:rsidR="00CF6E95" w:rsidRPr="007F392D" w:rsidRDefault="00CF6E95" w:rsidP="00AB2430">
            <w:pPr>
              <w:rPr>
                <w:i/>
                <w:sz w:val="28"/>
                <w:szCs w:val="28"/>
              </w:rPr>
            </w:pPr>
            <w:r>
              <w:rPr>
                <w:b/>
                <w:sz w:val="28"/>
                <w:szCs w:val="28"/>
              </w:rPr>
              <w:t>2016</w:t>
            </w:r>
          </w:p>
        </w:tc>
        <w:tc>
          <w:tcPr>
            <w:tcW w:w="7739" w:type="dxa"/>
            <w:shd w:val="clear" w:color="auto" w:fill="92CDDC" w:themeFill="accent5" w:themeFillTint="99"/>
          </w:tcPr>
          <w:p w14:paraId="6948825A" w14:textId="77777777" w:rsidR="00CF6E95" w:rsidRPr="00770905" w:rsidRDefault="00CF6E95" w:rsidP="00AB2430">
            <w:pPr>
              <w:pStyle w:val="ListParagraph"/>
              <w:ind w:left="360"/>
              <w:rPr>
                <w:i/>
                <w:sz w:val="28"/>
                <w:szCs w:val="28"/>
              </w:rPr>
            </w:pPr>
            <w:r>
              <w:rPr>
                <w:b/>
                <w:sz w:val="28"/>
                <w:szCs w:val="28"/>
              </w:rPr>
              <w:t>Updates</w:t>
            </w:r>
          </w:p>
        </w:tc>
      </w:tr>
      <w:tr w:rsidR="00CF6E95" w:rsidRPr="00B745EE" w14:paraId="5141B1DA" w14:textId="77777777" w:rsidTr="0020488A">
        <w:tc>
          <w:tcPr>
            <w:tcW w:w="2184" w:type="dxa"/>
            <w:tcBorders>
              <w:top w:val="single" w:sz="4" w:space="0" w:color="auto"/>
              <w:bottom w:val="nil"/>
            </w:tcBorders>
            <w:shd w:val="clear" w:color="auto" w:fill="F2F2F2" w:themeFill="background1" w:themeFillShade="F2"/>
          </w:tcPr>
          <w:p w14:paraId="0DE597DB" w14:textId="77777777" w:rsidR="00CF6E95" w:rsidRPr="007F392D" w:rsidRDefault="00CF6E95" w:rsidP="00AB2430">
            <w:pPr>
              <w:rPr>
                <w:i/>
                <w:sz w:val="28"/>
                <w:szCs w:val="28"/>
              </w:rPr>
            </w:pPr>
            <w:r w:rsidRPr="007F392D">
              <w:rPr>
                <w:i/>
                <w:sz w:val="28"/>
                <w:szCs w:val="28"/>
              </w:rPr>
              <w:t>February</w:t>
            </w:r>
          </w:p>
        </w:tc>
        <w:tc>
          <w:tcPr>
            <w:tcW w:w="7739" w:type="dxa"/>
            <w:tcBorders>
              <w:top w:val="single" w:sz="4" w:space="0" w:color="auto"/>
              <w:bottom w:val="nil"/>
            </w:tcBorders>
            <w:shd w:val="clear" w:color="auto" w:fill="F2F2F2" w:themeFill="background1" w:themeFillShade="F2"/>
          </w:tcPr>
          <w:p w14:paraId="3BFF6E92" w14:textId="77777777" w:rsidR="00CF6E95" w:rsidRPr="00B745EE" w:rsidRDefault="00CF6E95" w:rsidP="00AB2430">
            <w:pPr>
              <w:pStyle w:val="ListParagraph"/>
              <w:ind w:left="360"/>
              <w:rPr>
                <w:sz w:val="24"/>
                <w:szCs w:val="24"/>
              </w:rPr>
            </w:pPr>
          </w:p>
        </w:tc>
      </w:tr>
      <w:tr w:rsidR="00CF6E95" w:rsidRPr="00410C58" w14:paraId="5FEB2D2F" w14:textId="77777777" w:rsidTr="0020488A">
        <w:tc>
          <w:tcPr>
            <w:tcW w:w="2184" w:type="dxa"/>
            <w:tcBorders>
              <w:top w:val="nil"/>
            </w:tcBorders>
          </w:tcPr>
          <w:p w14:paraId="6050D7BA" w14:textId="77777777" w:rsidR="00CF6E95" w:rsidRPr="007F392D" w:rsidRDefault="00CF6E95" w:rsidP="00AB2430">
            <w:pPr>
              <w:rPr>
                <w:i/>
                <w:sz w:val="28"/>
                <w:szCs w:val="28"/>
              </w:rPr>
            </w:pPr>
          </w:p>
        </w:tc>
        <w:tc>
          <w:tcPr>
            <w:tcW w:w="7739" w:type="dxa"/>
            <w:tcBorders>
              <w:top w:val="nil"/>
            </w:tcBorders>
          </w:tcPr>
          <w:p w14:paraId="1870EB1E" w14:textId="77777777" w:rsidR="00CF6E95" w:rsidRDefault="00CF6E95" w:rsidP="00AB2430">
            <w:pPr>
              <w:pStyle w:val="ListParagraph"/>
              <w:numPr>
                <w:ilvl w:val="0"/>
                <w:numId w:val="15"/>
              </w:numPr>
              <w:rPr>
                <w:sz w:val="24"/>
                <w:szCs w:val="24"/>
              </w:rPr>
            </w:pPr>
            <w:r>
              <w:rPr>
                <w:sz w:val="24"/>
                <w:szCs w:val="24"/>
              </w:rPr>
              <w:t>Deprivation indicator update to 2014 (based on ‘IMD2015’)</w:t>
            </w:r>
          </w:p>
          <w:p w14:paraId="3EF88AA2" w14:textId="77777777" w:rsidR="00CF6E95" w:rsidRPr="00410C58" w:rsidRDefault="00CF6E95" w:rsidP="00AB2430">
            <w:pPr>
              <w:pStyle w:val="ListParagraph"/>
              <w:numPr>
                <w:ilvl w:val="0"/>
                <w:numId w:val="15"/>
              </w:numPr>
              <w:rPr>
                <w:sz w:val="24"/>
                <w:szCs w:val="24"/>
              </w:rPr>
            </w:pPr>
            <w:r w:rsidRPr="00410C58">
              <w:rPr>
                <w:sz w:val="24"/>
                <w:szCs w:val="24"/>
              </w:rPr>
              <w:t>Under 16s in poverty (PHOF indicator 1.01ii) update to 2013</w:t>
            </w:r>
          </w:p>
        </w:tc>
      </w:tr>
      <w:tr w:rsidR="00CF6E95" w:rsidRPr="00B745EE" w14:paraId="1334E6DE" w14:textId="77777777" w:rsidTr="0020488A">
        <w:tc>
          <w:tcPr>
            <w:tcW w:w="2184" w:type="dxa"/>
            <w:tcBorders>
              <w:bottom w:val="nil"/>
            </w:tcBorders>
            <w:shd w:val="clear" w:color="auto" w:fill="F2F2F2" w:themeFill="background1" w:themeFillShade="F2"/>
          </w:tcPr>
          <w:p w14:paraId="5C315716" w14:textId="77777777" w:rsidR="00CF6E95" w:rsidRPr="00DB583C" w:rsidRDefault="00CF6E95" w:rsidP="00AB2430">
            <w:pPr>
              <w:rPr>
                <w:sz w:val="28"/>
                <w:szCs w:val="28"/>
              </w:rPr>
            </w:pPr>
            <w:r>
              <w:rPr>
                <w:i/>
                <w:sz w:val="28"/>
                <w:szCs w:val="28"/>
              </w:rPr>
              <w:t>March</w:t>
            </w:r>
          </w:p>
        </w:tc>
        <w:tc>
          <w:tcPr>
            <w:tcW w:w="7739" w:type="dxa"/>
            <w:tcBorders>
              <w:bottom w:val="nil"/>
            </w:tcBorders>
            <w:shd w:val="clear" w:color="auto" w:fill="F2F2F2" w:themeFill="background1" w:themeFillShade="F2"/>
          </w:tcPr>
          <w:p w14:paraId="6BE6E039" w14:textId="77777777" w:rsidR="00CF6E95" w:rsidRPr="00B745EE" w:rsidRDefault="00CF6E95" w:rsidP="00AB2430">
            <w:pPr>
              <w:pStyle w:val="ListParagraph"/>
              <w:ind w:left="360"/>
              <w:rPr>
                <w:sz w:val="24"/>
                <w:szCs w:val="24"/>
              </w:rPr>
            </w:pPr>
          </w:p>
        </w:tc>
      </w:tr>
      <w:tr w:rsidR="00CF6E95" w:rsidRPr="00C34865" w14:paraId="31FF4CCD" w14:textId="77777777" w:rsidTr="0020488A">
        <w:tc>
          <w:tcPr>
            <w:tcW w:w="2184" w:type="dxa"/>
            <w:tcBorders>
              <w:top w:val="nil"/>
              <w:bottom w:val="single" w:sz="4" w:space="0" w:color="auto"/>
            </w:tcBorders>
          </w:tcPr>
          <w:p w14:paraId="6F89855F" w14:textId="77777777" w:rsidR="00CF6E95" w:rsidRPr="007F392D" w:rsidRDefault="00CF6E95" w:rsidP="00AB2430">
            <w:pPr>
              <w:rPr>
                <w:b/>
                <w:sz w:val="28"/>
                <w:szCs w:val="28"/>
              </w:rPr>
            </w:pPr>
          </w:p>
        </w:tc>
        <w:tc>
          <w:tcPr>
            <w:tcW w:w="7739" w:type="dxa"/>
            <w:tcBorders>
              <w:top w:val="nil"/>
              <w:bottom w:val="single" w:sz="4" w:space="0" w:color="auto"/>
            </w:tcBorders>
          </w:tcPr>
          <w:p w14:paraId="09CE8C98" w14:textId="77777777" w:rsidR="00CF6E95" w:rsidRDefault="00CF6E95" w:rsidP="00AB2430">
            <w:pPr>
              <w:pStyle w:val="ListParagraph"/>
              <w:numPr>
                <w:ilvl w:val="0"/>
                <w:numId w:val="4"/>
              </w:numPr>
              <w:ind w:left="357" w:hanging="357"/>
              <w:rPr>
                <w:sz w:val="24"/>
                <w:szCs w:val="24"/>
              </w:rPr>
            </w:pPr>
            <w:r>
              <w:rPr>
                <w:sz w:val="24"/>
                <w:szCs w:val="24"/>
              </w:rPr>
              <w:t>New additions to the tool relating to long-acting reversible contraceptive (LARC) prescriptions, 2014:</w:t>
            </w:r>
          </w:p>
          <w:p w14:paraId="53F45917" w14:textId="77777777" w:rsidR="00CF6E95" w:rsidRDefault="00CF6E95" w:rsidP="00AB2430">
            <w:pPr>
              <w:pStyle w:val="ListParagraph"/>
              <w:numPr>
                <w:ilvl w:val="0"/>
                <w:numId w:val="4"/>
              </w:numPr>
              <w:rPr>
                <w:sz w:val="24"/>
                <w:szCs w:val="24"/>
              </w:rPr>
            </w:pPr>
            <w:r>
              <w:rPr>
                <w:sz w:val="24"/>
                <w:szCs w:val="24"/>
              </w:rPr>
              <w:t>Total prescribed LARC excluding injections rate - combined GP and Sexual &amp; Reproductive Health (SRH) Services activity</w:t>
            </w:r>
          </w:p>
          <w:p w14:paraId="600AB832" w14:textId="77777777" w:rsidR="00CF6E95" w:rsidRDefault="00CF6E95" w:rsidP="00AB2430">
            <w:pPr>
              <w:pStyle w:val="ListParagraph"/>
              <w:numPr>
                <w:ilvl w:val="0"/>
                <w:numId w:val="4"/>
              </w:numPr>
              <w:rPr>
                <w:sz w:val="24"/>
                <w:szCs w:val="24"/>
              </w:rPr>
            </w:pPr>
            <w:r>
              <w:rPr>
                <w:sz w:val="24"/>
                <w:szCs w:val="24"/>
              </w:rPr>
              <w:t>SRH Services prescribed LARC excluding injections rate</w:t>
            </w:r>
          </w:p>
          <w:p w14:paraId="16494523" w14:textId="77777777" w:rsidR="00CF6E95" w:rsidRDefault="00CF6E95" w:rsidP="00AB2430">
            <w:pPr>
              <w:pStyle w:val="ListParagraph"/>
              <w:numPr>
                <w:ilvl w:val="0"/>
                <w:numId w:val="4"/>
              </w:numPr>
              <w:ind w:left="357" w:hanging="357"/>
              <w:rPr>
                <w:sz w:val="24"/>
                <w:szCs w:val="24"/>
              </w:rPr>
            </w:pPr>
            <w:r w:rsidRPr="000946DE">
              <w:rPr>
                <w:sz w:val="24"/>
                <w:szCs w:val="24"/>
              </w:rPr>
              <w:t>Pelvic inflammatory disease admissions</w:t>
            </w:r>
            <w:r>
              <w:rPr>
                <w:sz w:val="24"/>
                <w:szCs w:val="24"/>
              </w:rPr>
              <w:t xml:space="preserve"> indicator update to 2014/15</w:t>
            </w:r>
          </w:p>
          <w:p w14:paraId="13EE0391" w14:textId="77777777" w:rsidR="00CF6E95" w:rsidRDefault="00CF6E95" w:rsidP="00AB2430">
            <w:pPr>
              <w:pStyle w:val="ListParagraph"/>
              <w:numPr>
                <w:ilvl w:val="0"/>
                <w:numId w:val="4"/>
              </w:numPr>
              <w:ind w:left="357" w:hanging="357"/>
              <w:rPr>
                <w:sz w:val="24"/>
                <w:szCs w:val="24"/>
              </w:rPr>
            </w:pPr>
            <w:r w:rsidRPr="007950BD">
              <w:rPr>
                <w:sz w:val="24"/>
                <w:szCs w:val="24"/>
              </w:rPr>
              <w:t>Ectopic pregnancy adm</w:t>
            </w:r>
            <w:r>
              <w:rPr>
                <w:sz w:val="24"/>
                <w:szCs w:val="24"/>
              </w:rPr>
              <w:t>ission indicator update to 2014/15</w:t>
            </w:r>
          </w:p>
          <w:p w14:paraId="2D0B9FD4" w14:textId="77777777" w:rsidR="00CF6E95" w:rsidRPr="00C34865" w:rsidRDefault="00CF6E95" w:rsidP="00AB2430">
            <w:pPr>
              <w:pStyle w:val="ListParagraph"/>
              <w:numPr>
                <w:ilvl w:val="0"/>
                <w:numId w:val="15"/>
              </w:numPr>
              <w:rPr>
                <w:b/>
                <w:sz w:val="28"/>
                <w:szCs w:val="28"/>
              </w:rPr>
            </w:pPr>
            <w:r w:rsidRPr="00C74C85">
              <w:rPr>
                <w:sz w:val="24"/>
                <w:szCs w:val="24"/>
              </w:rPr>
              <w:t>Cerv</w:t>
            </w:r>
            <w:r>
              <w:rPr>
                <w:sz w:val="24"/>
                <w:szCs w:val="24"/>
              </w:rPr>
              <w:t>ical cancer indicator update to</w:t>
            </w:r>
            <w:r w:rsidRPr="00C74C85">
              <w:rPr>
                <w:sz w:val="24"/>
                <w:szCs w:val="24"/>
              </w:rPr>
              <w:t xml:space="preserve"> 2011-13 </w:t>
            </w:r>
            <w:r>
              <w:rPr>
                <w:sz w:val="24"/>
                <w:szCs w:val="24"/>
              </w:rPr>
              <w:t>(pooled)</w:t>
            </w:r>
          </w:p>
        </w:tc>
      </w:tr>
      <w:tr w:rsidR="00CF6E95" w:rsidRPr="007F392D" w14:paraId="215A33E7" w14:textId="77777777" w:rsidTr="0020488A">
        <w:tc>
          <w:tcPr>
            <w:tcW w:w="2184" w:type="dxa"/>
            <w:tcBorders>
              <w:bottom w:val="nil"/>
            </w:tcBorders>
            <w:shd w:val="clear" w:color="auto" w:fill="F2F2F2" w:themeFill="background1" w:themeFillShade="F2"/>
          </w:tcPr>
          <w:p w14:paraId="2A322493" w14:textId="77777777" w:rsidR="00CF6E95" w:rsidRPr="007F392D" w:rsidRDefault="00CF6E95" w:rsidP="00AB2430">
            <w:pPr>
              <w:rPr>
                <w:i/>
                <w:sz w:val="28"/>
                <w:szCs w:val="28"/>
              </w:rPr>
            </w:pPr>
            <w:r>
              <w:rPr>
                <w:i/>
                <w:sz w:val="28"/>
                <w:szCs w:val="28"/>
              </w:rPr>
              <w:t>April</w:t>
            </w:r>
          </w:p>
        </w:tc>
        <w:tc>
          <w:tcPr>
            <w:tcW w:w="7739" w:type="dxa"/>
            <w:tcBorders>
              <w:bottom w:val="nil"/>
            </w:tcBorders>
            <w:shd w:val="clear" w:color="auto" w:fill="F2F2F2" w:themeFill="background1" w:themeFillShade="F2"/>
          </w:tcPr>
          <w:p w14:paraId="60B1D58C" w14:textId="77777777" w:rsidR="00CF6E95" w:rsidRPr="007F392D" w:rsidRDefault="00CF6E95" w:rsidP="00AB2430">
            <w:pPr>
              <w:rPr>
                <w:i/>
                <w:sz w:val="28"/>
                <w:szCs w:val="28"/>
              </w:rPr>
            </w:pPr>
          </w:p>
        </w:tc>
      </w:tr>
      <w:tr w:rsidR="00CF6E95" w:rsidRPr="000A40A0" w14:paraId="077900D2" w14:textId="77777777" w:rsidTr="0020488A">
        <w:tc>
          <w:tcPr>
            <w:tcW w:w="2184" w:type="dxa"/>
            <w:tcBorders>
              <w:top w:val="nil"/>
              <w:bottom w:val="nil"/>
            </w:tcBorders>
          </w:tcPr>
          <w:p w14:paraId="1C85E8CE" w14:textId="77777777" w:rsidR="00CF6E95" w:rsidRPr="00DB583C" w:rsidRDefault="00CF6E95" w:rsidP="00AB2430">
            <w:pPr>
              <w:rPr>
                <w:sz w:val="28"/>
                <w:szCs w:val="28"/>
              </w:rPr>
            </w:pPr>
          </w:p>
        </w:tc>
        <w:tc>
          <w:tcPr>
            <w:tcW w:w="7739" w:type="dxa"/>
            <w:tcBorders>
              <w:top w:val="nil"/>
              <w:bottom w:val="nil"/>
            </w:tcBorders>
          </w:tcPr>
          <w:p w14:paraId="5840F00A" w14:textId="77777777" w:rsidR="00CF6E95" w:rsidRDefault="00CF6E95" w:rsidP="00AB2430">
            <w:pPr>
              <w:pStyle w:val="ListParagraph"/>
              <w:numPr>
                <w:ilvl w:val="0"/>
                <w:numId w:val="4"/>
              </w:numPr>
              <w:ind w:left="357" w:hanging="357"/>
              <w:rPr>
                <w:sz w:val="24"/>
                <w:szCs w:val="24"/>
              </w:rPr>
            </w:pPr>
            <w:r>
              <w:rPr>
                <w:sz w:val="24"/>
                <w:szCs w:val="24"/>
              </w:rPr>
              <w:t>New additions to the tool relating to main method of contraception choice at Sexual and Reproductive Health (SRH) Services, 2014:</w:t>
            </w:r>
          </w:p>
          <w:p w14:paraId="4E459B3B" w14:textId="77777777" w:rsidR="00CF6E95" w:rsidRDefault="00CF6E95" w:rsidP="00AB2430">
            <w:pPr>
              <w:pStyle w:val="ListParagraph"/>
              <w:numPr>
                <w:ilvl w:val="0"/>
                <w:numId w:val="4"/>
              </w:numPr>
              <w:rPr>
                <w:sz w:val="24"/>
                <w:szCs w:val="24"/>
              </w:rPr>
            </w:pPr>
            <w:r>
              <w:rPr>
                <w:sz w:val="24"/>
                <w:szCs w:val="24"/>
              </w:rPr>
              <w:t>Percentage age under 25 choose LARC excluding injections</w:t>
            </w:r>
          </w:p>
          <w:p w14:paraId="5F60F9FA" w14:textId="77777777" w:rsidR="00CF6E95" w:rsidRDefault="00CF6E95" w:rsidP="00AB2430">
            <w:pPr>
              <w:pStyle w:val="ListParagraph"/>
              <w:numPr>
                <w:ilvl w:val="0"/>
                <w:numId w:val="4"/>
              </w:numPr>
              <w:rPr>
                <w:sz w:val="24"/>
                <w:szCs w:val="24"/>
              </w:rPr>
            </w:pPr>
            <w:r>
              <w:rPr>
                <w:sz w:val="24"/>
                <w:szCs w:val="24"/>
              </w:rPr>
              <w:t>Percentage age over 25 choose LARC excluding injections</w:t>
            </w:r>
          </w:p>
          <w:p w14:paraId="2662D9F7" w14:textId="77777777" w:rsidR="00CF6E95" w:rsidRDefault="00CF6E95" w:rsidP="00AB2430">
            <w:pPr>
              <w:pStyle w:val="ListParagraph"/>
              <w:numPr>
                <w:ilvl w:val="0"/>
                <w:numId w:val="4"/>
              </w:numPr>
              <w:rPr>
                <w:sz w:val="24"/>
                <w:szCs w:val="24"/>
              </w:rPr>
            </w:pPr>
            <w:r>
              <w:rPr>
                <w:sz w:val="24"/>
                <w:szCs w:val="24"/>
              </w:rPr>
              <w:t>Percentage women choose injections</w:t>
            </w:r>
          </w:p>
          <w:p w14:paraId="3950B305" w14:textId="77777777" w:rsidR="00CF6E95" w:rsidRDefault="00CF6E95" w:rsidP="00AB2430">
            <w:pPr>
              <w:pStyle w:val="ListParagraph"/>
              <w:numPr>
                <w:ilvl w:val="0"/>
                <w:numId w:val="4"/>
              </w:numPr>
              <w:rPr>
                <w:sz w:val="24"/>
                <w:szCs w:val="24"/>
              </w:rPr>
            </w:pPr>
            <w:r>
              <w:rPr>
                <w:sz w:val="24"/>
                <w:szCs w:val="24"/>
              </w:rPr>
              <w:lastRenderedPageBreak/>
              <w:t>Percentage women choose user-dependent methods</w:t>
            </w:r>
          </w:p>
          <w:p w14:paraId="67F09BEF" w14:textId="77777777" w:rsidR="00CF6E95" w:rsidRDefault="00CF6E95" w:rsidP="00AB2430">
            <w:pPr>
              <w:pStyle w:val="ListParagraph"/>
              <w:numPr>
                <w:ilvl w:val="0"/>
                <w:numId w:val="4"/>
              </w:numPr>
              <w:rPr>
                <w:sz w:val="24"/>
                <w:szCs w:val="24"/>
              </w:rPr>
            </w:pPr>
            <w:r>
              <w:rPr>
                <w:sz w:val="24"/>
                <w:szCs w:val="24"/>
              </w:rPr>
              <w:t>Percentage women choose hormonal short-acting contraceptives</w:t>
            </w:r>
          </w:p>
          <w:p w14:paraId="149B06DB" w14:textId="77777777" w:rsidR="00CF6E95" w:rsidRDefault="00CF6E95" w:rsidP="00AB2430">
            <w:pPr>
              <w:pStyle w:val="ListParagraph"/>
              <w:numPr>
                <w:ilvl w:val="0"/>
                <w:numId w:val="4"/>
              </w:numPr>
              <w:ind w:left="357" w:hanging="357"/>
              <w:rPr>
                <w:sz w:val="24"/>
                <w:szCs w:val="24"/>
              </w:rPr>
            </w:pPr>
            <w:r>
              <w:rPr>
                <w:sz w:val="24"/>
                <w:szCs w:val="24"/>
              </w:rPr>
              <w:t>New additions to the tool relating to abortions, 2014:</w:t>
            </w:r>
          </w:p>
          <w:p w14:paraId="1A62A9AC" w14:textId="77777777" w:rsidR="00CF6E95" w:rsidRDefault="00CF6E95" w:rsidP="00AB2430">
            <w:pPr>
              <w:pStyle w:val="ListParagraph"/>
              <w:numPr>
                <w:ilvl w:val="0"/>
                <w:numId w:val="4"/>
              </w:numPr>
              <w:rPr>
                <w:sz w:val="24"/>
                <w:szCs w:val="24"/>
              </w:rPr>
            </w:pPr>
            <w:r>
              <w:rPr>
                <w:sz w:val="24"/>
                <w:szCs w:val="24"/>
              </w:rPr>
              <w:t>Percentage</w:t>
            </w:r>
            <w:r w:rsidRPr="00C67B67">
              <w:rPr>
                <w:sz w:val="24"/>
                <w:szCs w:val="24"/>
              </w:rPr>
              <w:t xml:space="preserve"> </w:t>
            </w:r>
            <w:r>
              <w:rPr>
                <w:sz w:val="24"/>
                <w:szCs w:val="24"/>
              </w:rPr>
              <w:t>age under 25 having an abortion after birth</w:t>
            </w:r>
          </w:p>
          <w:p w14:paraId="5613E21B" w14:textId="77777777" w:rsidR="00CF6E95" w:rsidRPr="00595774" w:rsidRDefault="00CF6E95" w:rsidP="00AB2430">
            <w:pPr>
              <w:pStyle w:val="ListParagraph"/>
              <w:numPr>
                <w:ilvl w:val="0"/>
                <w:numId w:val="4"/>
              </w:numPr>
              <w:rPr>
                <w:sz w:val="24"/>
                <w:szCs w:val="24"/>
              </w:rPr>
            </w:pPr>
            <w:r>
              <w:rPr>
                <w:sz w:val="24"/>
                <w:szCs w:val="24"/>
              </w:rPr>
              <w:t xml:space="preserve">Abortions age over 25 </w:t>
            </w:r>
            <w:proofErr w:type="gramStart"/>
            <w:r>
              <w:rPr>
                <w:sz w:val="24"/>
                <w:szCs w:val="24"/>
              </w:rPr>
              <w:t>rate</w:t>
            </w:r>
            <w:proofErr w:type="gramEnd"/>
          </w:p>
          <w:p w14:paraId="53D60F9B" w14:textId="77777777" w:rsidR="00CF6E95" w:rsidRDefault="00CF6E95" w:rsidP="00AB2430">
            <w:pPr>
              <w:pStyle w:val="ListParagraph"/>
              <w:numPr>
                <w:ilvl w:val="0"/>
                <w:numId w:val="4"/>
              </w:numPr>
              <w:rPr>
                <w:sz w:val="24"/>
                <w:szCs w:val="24"/>
              </w:rPr>
            </w:pPr>
            <w:r>
              <w:rPr>
                <w:sz w:val="24"/>
                <w:szCs w:val="24"/>
              </w:rPr>
              <w:t>Percentage abortions under 10 weeks that are medical</w:t>
            </w:r>
          </w:p>
          <w:p w14:paraId="5621996E" w14:textId="77777777" w:rsidR="00CF6E95" w:rsidRPr="00595774" w:rsidRDefault="00CF6E95" w:rsidP="00AB2430">
            <w:pPr>
              <w:pStyle w:val="ListParagraph"/>
              <w:numPr>
                <w:ilvl w:val="0"/>
                <w:numId w:val="4"/>
              </w:numPr>
              <w:rPr>
                <w:sz w:val="24"/>
                <w:szCs w:val="24"/>
              </w:rPr>
            </w:pPr>
            <w:r>
              <w:rPr>
                <w:sz w:val="24"/>
                <w:szCs w:val="24"/>
              </w:rPr>
              <w:t>Percentage abortions over 10 weeks that are medical</w:t>
            </w:r>
          </w:p>
          <w:p w14:paraId="6207EEEB" w14:textId="77777777" w:rsidR="00CF6E95" w:rsidRDefault="00CF6E95" w:rsidP="00AB2430">
            <w:pPr>
              <w:pStyle w:val="ListParagraph"/>
              <w:numPr>
                <w:ilvl w:val="0"/>
                <w:numId w:val="15"/>
              </w:numPr>
              <w:rPr>
                <w:sz w:val="24"/>
                <w:szCs w:val="24"/>
              </w:rPr>
            </w:pPr>
            <w:r w:rsidRPr="00C67B67">
              <w:rPr>
                <w:sz w:val="24"/>
                <w:szCs w:val="24"/>
              </w:rPr>
              <w:t>Teenage pregna</w:t>
            </w:r>
            <w:r>
              <w:rPr>
                <w:sz w:val="24"/>
                <w:szCs w:val="24"/>
              </w:rPr>
              <w:t xml:space="preserve">ncy indicators update to 2014 and new addition: Percentage of births where the mother is aged under 18 years, 2014/15. (NB LA, CCG, ward &amp; ‘MSOA’ level combined year versions of this indicator available in ‘Local Health’ tool – indicator44 </w:t>
            </w:r>
            <w:hyperlink r:id="rId7" w:history="1">
              <w:r w:rsidRPr="00C05A18">
                <w:rPr>
                  <w:rStyle w:val="Hyperlink"/>
                  <w:sz w:val="24"/>
                  <w:szCs w:val="24"/>
                </w:rPr>
                <w:t>here</w:t>
              </w:r>
            </w:hyperlink>
            <w:r>
              <w:rPr>
                <w:sz w:val="24"/>
                <w:szCs w:val="24"/>
              </w:rPr>
              <w:t>).</w:t>
            </w:r>
          </w:p>
          <w:p w14:paraId="6565A508" w14:textId="77777777" w:rsidR="00CF6E95" w:rsidRPr="000A40A0" w:rsidRDefault="00CF6E95" w:rsidP="00AB2430">
            <w:pPr>
              <w:pStyle w:val="ListParagraph"/>
              <w:numPr>
                <w:ilvl w:val="0"/>
                <w:numId w:val="15"/>
              </w:numPr>
              <w:rPr>
                <w:sz w:val="24"/>
                <w:szCs w:val="24"/>
              </w:rPr>
            </w:pPr>
            <w:r>
              <w:rPr>
                <w:sz w:val="24"/>
                <w:szCs w:val="24"/>
              </w:rPr>
              <w:t xml:space="preserve">Percentage GCSEs achieved (5A*-C </w:t>
            </w:r>
            <w:proofErr w:type="spellStart"/>
            <w:r>
              <w:rPr>
                <w:sz w:val="24"/>
                <w:szCs w:val="24"/>
              </w:rPr>
              <w:t>incl</w:t>
            </w:r>
            <w:proofErr w:type="spellEnd"/>
            <w:r>
              <w:rPr>
                <w:sz w:val="24"/>
                <w:szCs w:val="24"/>
              </w:rPr>
              <w:t xml:space="preserve"> English &amp; Maths) revision and update to 2014/15 – currently not available for districts or PHE Centres</w:t>
            </w:r>
          </w:p>
        </w:tc>
      </w:tr>
      <w:tr w:rsidR="00CF6E95" w:rsidRPr="00595774" w14:paraId="7755CEC2" w14:textId="77777777" w:rsidTr="0020488A">
        <w:tc>
          <w:tcPr>
            <w:tcW w:w="2184" w:type="dxa"/>
            <w:tcBorders>
              <w:top w:val="nil"/>
            </w:tcBorders>
          </w:tcPr>
          <w:p w14:paraId="482134C2" w14:textId="77777777" w:rsidR="00CF6E95" w:rsidRPr="00DB583C" w:rsidRDefault="00CF6E95" w:rsidP="00AB2430">
            <w:pPr>
              <w:rPr>
                <w:sz w:val="28"/>
                <w:szCs w:val="28"/>
              </w:rPr>
            </w:pPr>
          </w:p>
        </w:tc>
        <w:tc>
          <w:tcPr>
            <w:tcW w:w="7739" w:type="dxa"/>
            <w:tcBorders>
              <w:top w:val="nil"/>
            </w:tcBorders>
          </w:tcPr>
          <w:p w14:paraId="3CF1C05B" w14:textId="77777777" w:rsidR="00CF6E95" w:rsidRPr="00EA2E04" w:rsidRDefault="00CF6E95" w:rsidP="00AB2430">
            <w:pPr>
              <w:pStyle w:val="ListParagraph"/>
              <w:ind w:left="357"/>
              <w:rPr>
                <w:sz w:val="2"/>
                <w:szCs w:val="2"/>
              </w:rPr>
            </w:pPr>
          </w:p>
          <w:p w14:paraId="216D40A5" w14:textId="77777777" w:rsidR="00CF6E95" w:rsidRPr="00595774" w:rsidRDefault="00CF6E95" w:rsidP="00AB2430">
            <w:pPr>
              <w:pStyle w:val="ListParagraph"/>
              <w:numPr>
                <w:ilvl w:val="0"/>
                <w:numId w:val="4"/>
              </w:numPr>
              <w:ind w:left="357" w:hanging="357"/>
              <w:rPr>
                <w:sz w:val="24"/>
                <w:szCs w:val="24"/>
              </w:rPr>
            </w:pPr>
            <w:r>
              <w:rPr>
                <w:sz w:val="24"/>
                <w:szCs w:val="24"/>
              </w:rPr>
              <w:t xml:space="preserve">GP LARC rate removed as replaced by preferred GP LARC excluding injections rate; and reduces risk of misinterpreting injections role </w:t>
            </w:r>
          </w:p>
        </w:tc>
      </w:tr>
      <w:tr w:rsidR="00CF6E95" w14:paraId="493080CB" w14:textId="77777777" w:rsidTr="0020488A">
        <w:tc>
          <w:tcPr>
            <w:tcW w:w="2184" w:type="dxa"/>
            <w:tcBorders>
              <w:bottom w:val="nil"/>
            </w:tcBorders>
            <w:shd w:val="clear" w:color="auto" w:fill="F2F2F2" w:themeFill="background1" w:themeFillShade="F2"/>
          </w:tcPr>
          <w:p w14:paraId="31E9D9FE" w14:textId="77777777" w:rsidR="00CF6E95" w:rsidRDefault="00CF6E95" w:rsidP="00AB2430">
            <w:pPr>
              <w:rPr>
                <w:i/>
                <w:sz w:val="28"/>
                <w:szCs w:val="28"/>
              </w:rPr>
            </w:pPr>
            <w:r>
              <w:rPr>
                <w:i/>
                <w:sz w:val="28"/>
                <w:szCs w:val="28"/>
              </w:rPr>
              <w:t>May</w:t>
            </w:r>
          </w:p>
        </w:tc>
        <w:tc>
          <w:tcPr>
            <w:tcW w:w="7739" w:type="dxa"/>
            <w:tcBorders>
              <w:bottom w:val="nil"/>
            </w:tcBorders>
            <w:shd w:val="clear" w:color="auto" w:fill="F2F2F2" w:themeFill="background1" w:themeFillShade="F2"/>
          </w:tcPr>
          <w:p w14:paraId="735CC64E" w14:textId="77777777" w:rsidR="00CF6E95" w:rsidRDefault="00CF6E95" w:rsidP="00AB2430">
            <w:pPr>
              <w:pStyle w:val="ListParagraph"/>
              <w:ind w:left="357"/>
              <w:rPr>
                <w:sz w:val="24"/>
                <w:szCs w:val="24"/>
              </w:rPr>
            </w:pPr>
          </w:p>
        </w:tc>
      </w:tr>
      <w:tr w:rsidR="00CF6E95" w14:paraId="281DB25B" w14:textId="77777777" w:rsidTr="0020488A">
        <w:tc>
          <w:tcPr>
            <w:tcW w:w="2184" w:type="dxa"/>
            <w:tcBorders>
              <w:top w:val="nil"/>
              <w:bottom w:val="single" w:sz="4" w:space="0" w:color="auto"/>
            </w:tcBorders>
            <w:shd w:val="clear" w:color="auto" w:fill="auto"/>
          </w:tcPr>
          <w:p w14:paraId="64C9B94C" w14:textId="77777777" w:rsidR="00CF6E95" w:rsidRDefault="00CF6E95" w:rsidP="00AB2430">
            <w:pPr>
              <w:rPr>
                <w:i/>
                <w:sz w:val="28"/>
                <w:szCs w:val="28"/>
              </w:rPr>
            </w:pPr>
          </w:p>
        </w:tc>
        <w:tc>
          <w:tcPr>
            <w:tcW w:w="7739" w:type="dxa"/>
            <w:tcBorders>
              <w:top w:val="nil"/>
              <w:bottom w:val="single" w:sz="4" w:space="0" w:color="auto"/>
            </w:tcBorders>
            <w:shd w:val="clear" w:color="auto" w:fill="auto"/>
          </w:tcPr>
          <w:p w14:paraId="29D67260" w14:textId="77777777" w:rsidR="00CF6E95" w:rsidRDefault="00CF6E95" w:rsidP="00AB2430">
            <w:pPr>
              <w:pStyle w:val="ListParagraph"/>
              <w:ind w:left="0" w:right="-300"/>
              <w:rPr>
                <w:sz w:val="24"/>
                <w:szCs w:val="24"/>
              </w:rPr>
            </w:pPr>
            <w:r>
              <w:rPr>
                <w:sz w:val="28"/>
                <w:szCs w:val="28"/>
              </w:rPr>
              <w:t xml:space="preserve">•   </w:t>
            </w:r>
            <w:r w:rsidRPr="00C61053">
              <w:rPr>
                <w:sz w:val="24"/>
                <w:szCs w:val="24"/>
              </w:rPr>
              <w:t>Under 18s</w:t>
            </w:r>
            <w:r>
              <w:rPr>
                <w:sz w:val="24"/>
                <w:szCs w:val="24"/>
              </w:rPr>
              <w:t xml:space="preserve"> alcohol-specific hospital admissions update to</w:t>
            </w:r>
            <w:r w:rsidRPr="00C61053">
              <w:rPr>
                <w:sz w:val="24"/>
                <w:szCs w:val="24"/>
              </w:rPr>
              <w:t xml:space="preserve"> </w:t>
            </w:r>
            <w:r>
              <w:rPr>
                <w:sz w:val="24"/>
                <w:szCs w:val="24"/>
              </w:rPr>
              <w:t>2012/13-</w:t>
            </w:r>
          </w:p>
          <w:p w14:paraId="22EE9795" w14:textId="77777777" w:rsidR="00CF6E95" w:rsidRDefault="00CF6E95" w:rsidP="00AB2430">
            <w:pPr>
              <w:pStyle w:val="ListParagraph"/>
              <w:ind w:left="0" w:right="-300"/>
              <w:rPr>
                <w:sz w:val="24"/>
                <w:szCs w:val="24"/>
              </w:rPr>
            </w:pPr>
            <w:r>
              <w:rPr>
                <w:sz w:val="24"/>
                <w:szCs w:val="24"/>
              </w:rPr>
              <w:t xml:space="preserve">      2014/15</w:t>
            </w:r>
            <w:r w:rsidRPr="00C61053">
              <w:rPr>
                <w:sz w:val="24"/>
                <w:szCs w:val="24"/>
              </w:rPr>
              <w:t xml:space="preserve"> </w:t>
            </w:r>
            <w:r>
              <w:rPr>
                <w:sz w:val="24"/>
                <w:szCs w:val="24"/>
              </w:rPr>
              <w:t>(pooled)</w:t>
            </w:r>
          </w:p>
          <w:p w14:paraId="3639E647" w14:textId="77777777" w:rsidR="00CF6E95" w:rsidRDefault="00CF6E95" w:rsidP="00AB2430">
            <w:pPr>
              <w:pStyle w:val="ListParagraph"/>
              <w:ind w:left="0" w:right="-300"/>
              <w:rPr>
                <w:sz w:val="24"/>
                <w:szCs w:val="24"/>
              </w:rPr>
            </w:pPr>
            <w:r>
              <w:rPr>
                <w:sz w:val="28"/>
                <w:szCs w:val="28"/>
              </w:rPr>
              <w:t xml:space="preserve">•   </w:t>
            </w:r>
            <w:r>
              <w:rPr>
                <w:sz w:val="24"/>
                <w:szCs w:val="24"/>
              </w:rPr>
              <w:t>Under 16s in poverty (PHOF indicator) revised data to 2013</w:t>
            </w:r>
          </w:p>
          <w:p w14:paraId="6643FFA4" w14:textId="77777777" w:rsidR="00CF6E95" w:rsidRDefault="00CF6E95" w:rsidP="00AB2430">
            <w:pPr>
              <w:pStyle w:val="ListParagraph"/>
              <w:ind w:left="0" w:right="-300"/>
              <w:rPr>
                <w:sz w:val="24"/>
                <w:szCs w:val="24"/>
              </w:rPr>
            </w:pPr>
            <w:r>
              <w:rPr>
                <w:sz w:val="28"/>
                <w:szCs w:val="28"/>
              </w:rPr>
              <w:t xml:space="preserve">•   </w:t>
            </w:r>
            <w:r>
              <w:rPr>
                <w:sz w:val="24"/>
                <w:szCs w:val="24"/>
              </w:rPr>
              <w:t xml:space="preserve">Percentage GCSEs achieved (5A*-C </w:t>
            </w:r>
            <w:proofErr w:type="spellStart"/>
            <w:r>
              <w:rPr>
                <w:sz w:val="24"/>
                <w:szCs w:val="24"/>
              </w:rPr>
              <w:t>inc</w:t>
            </w:r>
            <w:proofErr w:type="spellEnd"/>
            <w:r>
              <w:rPr>
                <w:sz w:val="24"/>
                <w:szCs w:val="24"/>
              </w:rPr>
              <w:t xml:space="preserve"> English &amp; Maths) – districts</w:t>
            </w:r>
          </w:p>
          <w:p w14:paraId="59B32C37" w14:textId="77777777" w:rsidR="00CF6E95" w:rsidRDefault="00CF6E95" w:rsidP="00AB2430">
            <w:pPr>
              <w:pStyle w:val="ListParagraph"/>
              <w:ind w:left="0" w:right="-300"/>
              <w:rPr>
                <w:sz w:val="24"/>
                <w:szCs w:val="24"/>
              </w:rPr>
            </w:pPr>
            <w:r>
              <w:rPr>
                <w:sz w:val="24"/>
                <w:szCs w:val="24"/>
              </w:rPr>
              <w:t xml:space="preserve">      added </w:t>
            </w:r>
          </w:p>
          <w:p w14:paraId="49B41A90" w14:textId="77777777" w:rsidR="00CF6E95" w:rsidRDefault="00CF6E95" w:rsidP="00AB2430">
            <w:pPr>
              <w:pStyle w:val="ListParagraph"/>
              <w:ind w:left="0" w:right="-300"/>
              <w:rPr>
                <w:sz w:val="24"/>
                <w:szCs w:val="24"/>
              </w:rPr>
            </w:pPr>
            <w:r>
              <w:rPr>
                <w:sz w:val="28"/>
                <w:szCs w:val="28"/>
              </w:rPr>
              <w:t xml:space="preserve">•   </w:t>
            </w:r>
            <w:r>
              <w:rPr>
                <w:sz w:val="24"/>
                <w:szCs w:val="24"/>
              </w:rPr>
              <w:t>2015 version of ‘D</w:t>
            </w:r>
            <w:r w:rsidRPr="00C27E8E">
              <w:rPr>
                <w:sz w:val="24"/>
                <w:szCs w:val="24"/>
              </w:rPr>
              <w:t>eprivation decile</w:t>
            </w:r>
            <w:r>
              <w:rPr>
                <w:sz w:val="24"/>
                <w:szCs w:val="24"/>
              </w:rPr>
              <w:t>’</w:t>
            </w:r>
            <w:r w:rsidRPr="00C27E8E">
              <w:rPr>
                <w:sz w:val="24"/>
                <w:szCs w:val="24"/>
              </w:rPr>
              <w:t xml:space="preserve"> groups added to </w:t>
            </w:r>
            <w:r>
              <w:rPr>
                <w:sz w:val="24"/>
                <w:szCs w:val="24"/>
              </w:rPr>
              <w:t xml:space="preserve">the </w:t>
            </w:r>
          </w:p>
          <w:p w14:paraId="1D6BE553" w14:textId="77777777" w:rsidR="00CF6E95" w:rsidRDefault="00CF6E95" w:rsidP="00AB2430">
            <w:pPr>
              <w:pStyle w:val="ListParagraph"/>
              <w:ind w:left="0" w:right="-300"/>
              <w:rPr>
                <w:sz w:val="24"/>
                <w:szCs w:val="24"/>
              </w:rPr>
            </w:pPr>
            <w:r>
              <w:rPr>
                <w:sz w:val="24"/>
                <w:szCs w:val="24"/>
              </w:rPr>
              <w:t xml:space="preserve">      ‘Areas </w:t>
            </w:r>
            <w:r w:rsidRPr="00C27E8E">
              <w:rPr>
                <w:sz w:val="24"/>
                <w:szCs w:val="24"/>
              </w:rPr>
              <w:t>group</w:t>
            </w:r>
            <w:r>
              <w:rPr>
                <w:sz w:val="24"/>
                <w:szCs w:val="24"/>
              </w:rPr>
              <w:t xml:space="preserve">ed by’ </w:t>
            </w:r>
            <w:r w:rsidRPr="00C27E8E">
              <w:rPr>
                <w:sz w:val="24"/>
                <w:szCs w:val="24"/>
              </w:rPr>
              <w:t xml:space="preserve">and </w:t>
            </w:r>
            <w:r>
              <w:rPr>
                <w:sz w:val="24"/>
                <w:szCs w:val="24"/>
              </w:rPr>
              <w:t>‘Benchmark’ options – local authorities are</w:t>
            </w:r>
          </w:p>
          <w:p w14:paraId="4F4960EA" w14:textId="77777777" w:rsidR="00CF6E95" w:rsidRDefault="00CF6E95" w:rsidP="00AB2430">
            <w:pPr>
              <w:pStyle w:val="ListParagraph"/>
              <w:ind w:left="0" w:right="-300"/>
              <w:rPr>
                <w:sz w:val="24"/>
                <w:szCs w:val="24"/>
              </w:rPr>
            </w:pPr>
            <w:r>
              <w:rPr>
                <w:sz w:val="24"/>
                <w:szCs w:val="24"/>
              </w:rPr>
              <w:t xml:space="preserve">      grouped into 10 levels of deprivation based on the Index of Multiple</w:t>
            </w:r>
          </w:p>
          <w:p w14:paraId="4D17E0F3" w14:textId="77777777" w:rsidR="00CF6E95" w:rsidRDefault="00CF6E95" w:rsidP="00AB2430">
            <w:pPr>
              <w:pStyle w:val="ListParagraph"/>
              <w:ind w:left="0" w:right="-300"/>
              <w:rPr>
                <w:sz w:val="24"/>
                <w:szCs w:val="24"/>
              </w:rPr>
            </w:pPr>
            <w:r>
              <w:rPr>
                <w:sz w:val="24"/>
                <w:szCs w:val="24"/>
              </w:rPr>
              <w:t xml:space="preserve">      Deprivation (IMD) 2015 ranks. For further information see </w:t>
            </w:r>
            <w:hyperlink r:id="rId8" w:history="1">
              <w:r w:rsidRPr="00D924B0">
                <w:rPr>
                  <w:rStyle w:val="Hyperlink"/>
                  <w:sz w:val="24"/>
                  <w:szCs w:val="24"/>
                </w:rPr>
                <w:t>here</w:t>
              </w:r>
            </w:hyperlink>
            <w:r>
              <w:rPr>
                <w:sz w:val="24"/>
                <w:szCs w:val="24"/>
              </w:rPr>
              <w:t>)</w:t>
            </w:r>
          </w:p>
        </w:tc>
      </w:tr>
      <w:tr w:rsidR="00CF6E95" w14:paraId="665666B6" w14:textId="77777777" w:rsidTr="0020488A">
        <w:tc>
          <w:tcPr>
            <w:tcW w:w="2184" w:type="dxa"/>
            <w:tcBorders>
              <w:top w:val="single" w:sz="4" w:space="0" w:color="auto"/>
              <w:bottom w:val="nil"/>
            </w:tcBorders>
            <w:shd w:val="clear" w:color="auto" w:fill="F2F2F2" w:themeFill="background1" w:themeFillShade="F2"/>
          </w:tcPr>
          <w:p w14:paraId="16500C00" w14:textId="77777777" w:rsidR="00CF6E95" w:rsidRPr="00DB583C" w:rsidRDefault="00CF6E95" w:rsidP="00AB2430">
            <w:pPr>
              <w:rPr>
                <w:sz w:val="28"/>
                <w:szCs w:val="28"/>
              </w:rPr>
            </w:pPr>
            <w:r>
              <w:rPr>
                <w:i/>
                <w:sz w:val="28"/>
                <w:szCs w:val="28"/>
              </w:rPr>
              <w:t>July</w:t>
            </w:r>
          </w:p>
        </w:tc>
        <w:tc>
          <w:tcPr>
            <w:tcW w:w="7739" w:type="dxa"/>
            <w:tcBorders>
              <w:top w:val="single" w:sz="4" w:space="0" w:color="auto"/>
              <w:bottom w:val="nil"/>
            </w:tcBorders>
            <w:shd w:val="clear" w:color="auto" w:fill="F2F2F2" w:themeFill="background1" w:themeFillShade="F2"/>
          </w:tcPr>
          <w:p w14:paraId="17E925A8" w14:textId="77777777" w:rsidR="00CF6E95" w:rsidRDefault="00CF6E95" w:rsidP="00AB2430">
            <w:pPr>
              <w:pStyle w:val="ListParagraph"/>
              <w:ind w:left="357"/>
              <w:rPr>
                <w:sz w:val="24"/>
                <w:szCs w:val="24"/>
              </w:rPr>
            </w:pPr>
          </w:p>
        </w:tc>
      </w:tr>
      <w:tr w:rsidR="00CF6E95" w:rsidRPr="00A43D58" w14:paraId="310D0C86" w14:textId="77777777" w:rsidTr="0020488A">
        <w:tc>
          <w:tcPr>
            <w:tcW w:w="2184" w:type="dxa"/>
            <w:tcBorders>
              <w:top w:val="nil"/>
              <w:bottom w:val="single" w:sz="4" w:space="0" w:color="auto"/>
            </w:tcBorders>
          </w:tcPr>
          <w:p w14:paraId="1BAF354D" w14:textId="77777777" w:rsidR="00CF6E95" w:rsidRPr="00DB583C" w:rsidRDefault="00CF6E95" w:rsidP="00AB2430">
            <w:pPr>
              <w:rPr>
                <w:sz w:val="28"/>
                <w:szCs w:val="28"/>
              </w:rPr>
            </w:pPr>
          </w:p>
        </w:tc>
        <w:tc>
          <w:tcPr>
            <w:tcW w:w="7739" w:type="dxa"/>
            <w:tcBorders>
              <w:top w:val="nil"/>
              <w:bottom w:val="single" w:sz="4" w:space="0" w:color="auto"/>
            </w:tcBorders>
          </w:tcPr>
          <w:p w14:paraId="2B9C9501" w14:textId="77777777" w:rsidR="00CF6E95" w:rsidRPr="00A43D58" w:rsidRDefault="00CF6E95" w:rsidP="00AB2430">
            <w:pPr>
              <w:pStyle w:val="ListParagraph"/>
              <w:numPr>
                <w:ilvl w:val="0"/>
                <w:numId w:val="4"/>
              </w:numPr>
              <w:ind w:left="357" w:hanging="357"/>
              <w:rPr>
                <w:sz w:val="24"/>
                <w:szCs w:val="24"/>
              </w:rPr>
            </w:pPr>
            <w:r w:rsidRPr="00C970C7">
              <w:rPr>
                <w:sz w:val="24"/>
                <w:szCs w:val="24"/>
              </w:rPr>
              <w:t>All STI and HIV testing indicators relating to GUMCADv2 and CTAD data update – to include revision of previously published data and new data point for the calendar year 2015.</w:t>
            </w:r>
          </w:p>
        </w:tc>
      </w:tr>
      <w:tr w:rsidR="00CF6E95" w:rsidRPr="007F392D" w14:paraId="4CF509A7" w14:textId="77777777" w:rsidTr="0020488A">
        <w:tc>
          <w:tcPr>
            <w:tcW w:w="2184" w:type="dxa"/>
            <w:tcBorders>
              <w:top w:val="single" w:sz="4" w:space="0" w:color="auto"/>
              <w:bottom w:val="nil"/>
            </w:tcBorders>
            <w:shd w:val="pct5" w:color="auto" w:fill="auto"/>
          </w:tcPr>
          <w:p w14:paraId="5CA63D41" w14:textId="77777777" w:rsidR="00CF6E95" w:rsidRPr="007F392D" w:rsidRDefault="00CF6E95" w:rsidP="00AB2430">
            <w:pPr>
              <w:rPr>
                <w:i/>
                <w:sz w:val="28"/>
                <w:szCs w:val="28"/>
              </w:rPr>
            </w:pPr>
            <w:r>
              <w:rPr>
                <w:i/>
                <w:sz w:val="28"/>
                <w:szCs w:val="28"/>
              </w:rPr>
              <w:t>August</w:t>
            </w:r>
          </w:p>
        </w:tc>
        <w:tc>
          <w:tcPr>
            <w:tcW w:w="7739" w:type="dxa"/>
            <w:tcBorders>
              <w:top w:val="single" w:sz="4" w:space="0" w:color="auto"/>
              <w:bottom w:val="nil"/>
            </w:tcBorders>
            <w:shd w:val="pct5" w:color="auto" w:fill="auto"/>
          </w:tcPr>
          <w:p w14:paraId="7088D8E0" w14:textId="77777777" w:rsidR="00CF6E95" w:rsidRPr="007F392D" w:rsidRDefault="00CF6E95" w:rsidP="00AB2430">
            <w:pPr>
              <w:rPr>
                <w:i/>
                <w:sz w:val="28"/>
                <w:szCs w:val="28"/>
              </w:rPr>
            </w:pPr>
          </w:p>
        </w:tc>
      </w:tr>
      <w:tr w:rsidR="00CF6E95" w:rsidRPr="007A6D00" w14:paraId="331A9856" w14:textId="77777777" w:rsidTr="0020488A">
        <w:tc>
          <w:tcPr>
            <w:tcW w:w="2184" w:type="dxa"/>
            <w:tcBorders>
              <w:top w:val="nil"/>
            </w:tcBorders>
          </w:tcPr>
          <w:p w14:paraId="6F80244E" w14:textId="77777777" w:rsidR="00CF6E95" w:rsidRPr="007F392D" w:rsidRDefault="00CF6E95" w:rsidP="00AB2430">
            <w:pPr>
              <w:rPr>
                <w:i/>
                <w:sz w:val="28"/>
                <w:szCs w:val="28"/>
              </w:rPr>
            </w:pPr>
          </w:p>
        </w:tc>
        <w:tc>
          <w:tcPr>
            <w:tcW w:w="7739" w:type="dxa"/>
            <w:tcBorders>
              <w:top w:val="nil"/>
            </w:tcBorders>
          </w:tcPr>
          <w:p w14:paraId="21FDBFF8" w14:textId="77777777" w:rsidR="00CF6E95" w:rsidRDefault="00CF6E95" w:rsidP="00AB2430">
            <w:pPr>
              <w:rPr>
                <w:sz w:val="24"/>
                <w:szCs w:val="24"/>
              </w:rPr>
            </w:pPr>
            <w:r>
              <w:rPr>
                <w:sz w:val="28"/>
                <w:szCs w:val="28"/>
              </w:rPr>
              <w:t xml:space="preserve">•   </w:t>
            </w:r>
            <w:r>
              <w:rPr>
                <w:sz w:val="24"/>
                <w:szCs w:val="24"/>
              </w:rPr>
              <w:t>All a</w:t>
            </w:r>
            <w:r w:rsidRPr="00C27E8E">
              <w:rPr>
                <w:sz w:val="24"/>
                <w:szCs w:val="24"/>
              </w:rPr>
              <w:t>bortion</w:t>
            </w:r>
            <w:r>
              <w:rPr>
                <w:sz w:val="24"/>
                <w:szCs w:val="24"/>
              </w:rPr>
              <w:t xml:space="preserve"> indicators updated to 2015</w:t>
            </w:r>
          </w:p>
          <w:p w14:paraId="1EBA5BD9" w14:textId="77777777" w:rsidR="00CF6E95" w:rsidRDefault="00CF6E95" w:rsidP="00AB2430">
            <w:pPr>
              <w:pStyle w:val="ListParagraph"/>
              <w:numPr>
                <w:ilvl w:val="0"/>
                <w:numId w:val="18"/>
              </w:numPr>
              <w:rPr>
                <w:sz w:val="24"/>
                <w:szCs w:val="24"/>
              </w:rPr>
            </w:pPr>
            <w:r>
              <w:rPr>
                <w:sz w:val="24"/>
                <w:szCs w:val="24"/>
              </w:rPr>
              <w:t>A</w:t>
            </w:r>
            <w:r w:rsidRPr="0054124B">
              <w:rPr>
                <w:sz w:val="24"/>
                <w:szCs w:val="24"/>
              </w:rPr>
              <w:t xml:space="preserve">ntenatal </w:t>
            </w:r>
            <w:r>
              <w:rPr>
                <w:sz w:val="24"/>
                <w:szCs w:val="24"/>
              </w:rPr>
              <w:t xml:space="preserve">infectious disease screening – </w:t>
            </w:r>
            <w:r w:rsidRPr="0054124B">
              <w:rPr>
                <w:sz w:val="24"/>
                <w:szCs w:val="24"/>
              </w:rPr>
              <w:t>HIV coverage</w:t>
            </w:r>
            <w:r>
              <w:rPr>
                <w:sz w:val="24"/>
                <w:szCs w:val="24"/>
              </w:rPr>
              <w:t xml:space="preserve"> (PHOF indicator 2.21i, region level only) update to 2014/15</w:t>
            </w:r>
          </w:p>
          <w:p w14:paraId="6E6243A2" w14:textId="77777777" w:rsidR="00CF6E95" w:rsidRPr="00641179" w:rsidRDefault="00CF6E95" w:rsidP="00AB2430">
            <w:pPr>
              <w:pStyle w:val="ListParagraph"/>
              <w:numPr>
                <w:ilvl w:val="0"/>
                <w:numId w:val="18"/>
              </w:numPr>
              <w:ind w:right="-300"/>
              <w:contextualSpacing w:val="0"/>
              <w:rPr>
                <w:sz w:val="24"/>
                <w:szCs w:val="24"/>
              </w:rPr>
            </w:pPr>
            <w:r w:rsidRPr="00641179">
              <w:rPr>
                <w:sz w:val="24"/>
                <w:szCs w:val="24"/>
              </w:rPr>
              <w:t xml:space="preserve">Percentage 16-18 not in education, </w:t>
            </w:r>
            <w:proofErr w:type="gramStart"/>
            <w:r w:rsidRPr="00641179">
              <w:rPr>
                <w:sz w:val="24"/>
                <w:szCs w:val="24"/>
              </w:rPr>
              <w:t>employment</w:t>
            </w:r>
            <w:proofErr w:type="gramEnd"/>
            <w:r w:rsidRPr="00641179">
              <w:rPr>
                <w:sz w:val="24"/>
                <w:szCs w:val="24"/>
              </w:rPr>
              <w:t xml:space="preserve"> or training (PHOF</w:t>
            </w:r>
            <w:r>
              <w:rPr>
                <w:sz w:val="24"/>
                <w:szCs w:val="24"/>
              </w:rPr>
              <w:t xml:space="preserve"> indicator 1.05) update to 2015</w:t>
            </w:r>
          </w:p>
          <w:p w14:paraId="4AC999B5" w14:textId="77777777" w:rsidR="00CF6E95" w:rsidRPr="007A6D00" w:rsidRDefault="00CF6E95" w:rsidP="00AB2430">
            <w:pPr>
              <w:pStyle w:val="ListParagraph"/>
              <w:numPr>
                <w:ilvl w:val="0"/>
                <w:numId w:val="18"/>
              </w:numPr>
              <w:ind w:right="-300"/>
              <w:contextualSpacing w:val="0"/>
              <w:rPr>
                <w:sz w:val="24"/>
                <w:szCs w:val="24"/>
              </w:rPr>
            </w:pPr>
            <w:r w:rsidRPr="00641179">
              <w:rPr>
                <w:sz w:val="24"/>
                <w:szCs w:val="24"/>
              </w:rPr>
              <w:t xml:space="preserve">Percentage pupil absence (PHOF </w:t>
            </w:r>
            <w:r>
              <w:rPr>
                <w:sz w:val="24"/>
                <w:szCs w:val="24"/>
              </w:rPr>
              <w:t>indicator 1.03) update to 2014/15</w:t>
            </w:r>
          </w:p>
        </w:tc>
      </w:tr>
      <w:tr w:rsidR="00CF6E95" w:rsidRPr="007F392D" w14:paraId="69217EED" w14:textId="77777777" w:rsidTr="0020488A">
        <w:tc>
          <w:tcPr>
            <w:tcW w:w="2184" w:type="dxa"/>
            <w:tcBorders>
              <w:top w:val="single" w:sz="4" w:space="0" w:color="auto"/>
              <w:bottom w:val="nil"/>
            </w:tcBorders>
            <w:shd w:val="pct5" w:color="auto" w:fill="auto"/>
          </w:tcPr>
          <w:p w14:paraId="1E52DE15" w14:textId="77777777" w:rsidR="00CF6E95" w:rsidRPr="007F392D" w:rsidRDefault="00CF6E95" w:rsidP="00AB2430">
            <w:pPr>
              <w:rPr>
                <w:i/>
                <w:sz w:val="28"/>
                <w:szCs w:val="28"/>
              </w:rPr>
            </w:pPr>
            <w:r>
              <w:rPr>
                <w:i/>
                <w:sz w:val="28"/>
                <w:szCs w:val="28"/>
              </w:rPr>
              <w:t>October</w:t>
            </w:r>
          </w:p>
        </w:tc>
        <w:tc>
          <w:tcPr>
            <w:tcW w:w="7739" w:type="dxa"/>
            <w:tcBorders>
              <w:top w:val="single" w:sz="4" w:space="0" w:color="auto"/>
              <w:bottom w:val="nil"/>
            </w:tcBorders>
            <w:shd w:val="pct5" w:color="auto" w:fill="auto"/>
          </w:tcPr>
          <w:p w14:paraId="6C1E8000" w14:textId="77777777" w:rsidR="00CF6E95" w:rsidRPr="007F392D" w:rsidRDefault="00CF6E95" w:rsidP="00AB2430">
            <w:pPr>
              <w:rPr>
                <w:i/>
                <w:sz w:val="28"/>
                <w:szCs w:val="28"/>
              </w:rPr>
            </w:pPr>
          </w:p>
        </w:tc>
      </w:tr>
      <w:tr w:rsidR="00CF6E95" w:rsidRPr="00D7540E" w14:paraId="2CF133C8" w14:textId="77777777" w:rsidTr="0020488A">
        <w:tc>
          <w:tcPr>
            <w:tcW w:w="2184" w:type="dxa"/>
            <w:tcBorders>
              <w:top w:val="nil"/>
              <w:bottom w:val="single" w:sz="4" w:space="0" w:color="auto"/>
            </w:tcBorders>
          </w:tcPr>
          <w:p w14:paraId="450F3EE9" w14:textId="77777777" w:rsidR="00CF6E95" w:rsidRPr="007F392D" w:rsidRDefault="00CF6E95" w:rsidP="00AB2430">
            <w:pPr>
              <w:rPr>
                <w:i/>
                <w:sz w:val="28"/>
                <w:szCs w:val="28"/>
              </w:rPr>
            </w:pPr>
          </w:p>
        </w:tc>
        <w:tc>
          <w:tcPr>
            <w:tcW w:w="7739" w:type="dxa"/>
            <w:tcBorders>
              <w:top w:val="nil"/>
              <w:bottom w:val="single" w:sz="4" w:space="0" w:color="auto"/>
            </w:tcBorders>
          </w:tcPr>
          <w:p w14:paraId="74ED514D" w14:textId="77777777" w:rsidR="00CF6E95" w:rsidRPr="0045648D" w:rsidRDefault="00CF6E95" w:rsidP="00AB2430">
            <w:pPr>
              <w:pStyle w:val="ListParagraph"/>
              <w:numPr>
                <w:ilvl w:val="0"/>
                <w:numId w:val="1"/>
              </w:numPr>
              <w:ind w:left="293" w:right="-250" w:hanging="259"/>
              <w:rPr>
                <w:sz w:val="24"/>
                <w:szCs w:val="24"/>
              </w:rPr>
            </w:pPr>
            <w:r w:rsidRPr="0045648D">
              <w:rPr>
                <w:sz w:val="24"/>
                <w:szCs w:val="24"/>
              </w:rPr>
              <w:t>People presenting with HIV at a late stage of i</w:t>
            </w:r>
            <w:r>
              <w:rPr>
                <w:sz w:val="24"/>
                <w:szCs w:val="24"/>
              </w:rPr>
              <w:t xml:space="preserve">nfection: update to include </w:t>
            </w:r>
            <w:r w:rsidRPr="008247CF">
              <w:rPr>
                <w:sz w:val="24"/>
                <w:szCs w:val="24"/>
              </w:rPr>
              <w:t>revision of previously published data and new data point for the calendar year 201</w:t>
            </w:r>
            <w:r>
              <w:rPr>
                <w:sz w:val="24"/>
                <w:szCs w:val="24"/>
              </w:rPr>
              <w:t>5 (shown as years 2013, 2014 &amp; 2015</w:t>
            </w:r>
            <w:r w:rsidRPr="0045648D">
              <w:rPr>
                <w:sz w:val="24"/>
                <w:szCs w:val="24"/>
              </w:rPr>
              <w:t xml:space="preserve"> combined).</w:t>
            </w:r>
          </w:p>
          <w:p w14:paraId="4F54DCF3" w14:textId="77777777" w:rsidR="00CF6E95" w:rsidRDefault="00CF6E95" w:rsidP="00AB2430">
            <w:pPr>
              <w:pStyle w:val="ListParagraph"/>
              <w:numPr>
                <w:ilvl w:val="0"/>
                <w:numId w:val="1"/>
              </w:numPr>
              <w:ind w:left="293" w:right="-250" w:hanging="259"/>
              <w:rPr>
                <w:sz w:val="24"/>
                <w:szCs w:val="24"/>
              </w:rPr>
            </w:pPr>
            <w:r w:rsidRPr="0045648D">
              <w:rPr>
                <w:sz w:val="24"/>
                <w:szCs w:val="24"/>
              </w:rPr>
              <w:t>Prevalence of diagnosed HIV infection</w:t>
            </w:r>
            <w:r>
              <w:rPr>
                <w:sz w:val="24"/>
                <w:szCs w:val="24"/>
              </w:rPr>
              <w:t xml:space="preserve"> per </w:t>
            </w:r>
            <w:r w:rsidRPr="0045648D">
              <w:rPr>
                <w:sz w:val="24"/>
                <w:szCs w:val="24"/>
              </w:rPr>
              <w:t>1</w:t>
            </w:r>
            <w:r>
              <w:rPr>
                <w:sz w:val="24"/>
                <w:szCs w:val="24"/>
              </w:rPr>
              <w:t>,</w:t>
            </w:r>
            <w:r w:rsidRPr="0045648D">
              <w:rPr>
                <w:sz w:val="24"/>
                <w:szCs w:val="24"/>
              </w:rPr>
              <w:t>000 persons aged 15-59 years</w:t>
            </w:r>
            <w:r>
              <w:rPr>
                <w:sz w:val="24"/>
                <w:szCs w:val="24"/>
              </w:rPr>
              <w:t xml:space="preserve">: update </w:t>
            </w:r>
            <w:r w:rsidRPr="008247CF">
              <w:rPr>
                <w:sz w:val="24"/>
                <w:szCs w:val="24"/>
              </w:rPr>
              <w:t>to include revision of previously published data and new data point for the calendar year 201</w:t>
            </w:r>
            <w:r>
              <w:rPr>
                <w:sz w:val="24"/>
                <w:szCs w:val="24"/>
              </w:rPr>
              <w:t>5</w:t>
            </w:r>
            <w:r w:rsidRPr="0045648D">
              <w:rPr>
                <w:sz w:val="24"/>
                <w:szCs w:val="24"/>
              </w:rPr>
              <w:t>.</w:t>
            </w:r>
          </w:p>
          <w:p w14:paraId="05AD385D" w14:textId="77777777" w:rsidR="00CF6E95" w:rsidRDefault="00CF6E95" w:rsidP="00AB2430">
            <w:pPr>
              <w:pStyle w:val="ListParagraph"/>
              <w:numPr>
                <w:ilvl w:val="0"/>
                <w:numId w:val="1"/>
              </w:numPr>
              <w:ind w:left="293" w:right="-250" w:hanging="259"/>
              <w:rPr>
                <w:sz w:val="24"/>
                <w:szCs w:val="24"/>
              </w:rPr>
            </w:pPr>
            <w:r>
              <w:rPr>
                <w:sz w:val="24"/>
                <w:szCs w:val="24"/>
              </w:rPr>
              <w:t xml:space="preserve">New HIV diagnosis rate per 100,000 aged 15+ update </w:t>
            </w:r>
            <w:r w:rsidRPr="008247CF">
              <w:rPr>
                <w:sz w:val="24"/>
                <w:szCs w:val="24"/>
              </w:rPr>
              <w:t>to include revision of previously published data and new data point for the calendar year 201</w:t>
            </w:r>
            <w:r>
              <w:rPr>
                <w:sz w:val="24"/>
                <w:szCs w:val="24"/>
              </w:rPr>
              <w:t>5</w:t>
            </w:r>
            <w:r w:rsidRPr="0045648D">
              <w:rPr>
                <w:sz w:val="24"/>
                <w:szCs w:val="24"/>
              </w:rPr>
              <w:t>.</w:t>
            </w:r>
          </w:p>
          <w:p w14:paraId="6157F258" w14:textId="77777777" w:rsidR="00CF6E95" w:rsidRDefault="00CF6E95" w:rsidP="00AB2430">
            <w:pPr>
              <w:pStyle w:val="ListParagraph"/>
              <w:numPr>
                <w:ilvl w:val="0"/>
                <w:numId w:val="1"/>
              </w:numPr>
              <w:ind w:left="293" w:right="-250" w:hanging="259"/>
              <w:rPr>
                <w:sz w:val="24"/>
                <w:szCs w:val="24"/>
              </w:rPr>
            </w:pPr>
            <w:r w:rsidRPr="00D7540E">
              <w:rPr>
                <w:sz w:val="24"/>
                <w:szCs w:val="24"/>
              </w:rPr>
              <w:t>Proportion of TB cases offered an HIV test</w:t>
            </w:r>
            <w:r>
              <w:rPr>
                <w:sz w:val="24"/>
                <w:szCs w:val="24"/>
              </w:rPr>
              <w:t xml:space="preserve"> (TB Strategy Monitoring Indicators) update to 2015.</w:t>
            </w:r>
          </w:p>
          <w:p w14:paraId="05F8FA68" w14:textId="77777777" w:rsidR="00CF6E95" w:rsidRPr="0041377A" w:rsidRDefault="00CF6E95" w:rsidP="00AB2430">
            <w:pPr>
              <w:pStyle w:val="ListParagraph"/>
              <w:numPr>
                <w:ilvl w:val="0"/>
                <w:numId w:val="1"/>
              </w:numPr>
              <w:ind w:left="293" w:right="-250" w:hanging="259"/>
              <w:rPr>
                <w:sz w:val="24"/>
                <w:szCs w:val="24"/>
              </w:rPr>
            </w:pPr>
            <w:r>
              <w:rPr>
                <w:sz w:val="24"/>
                <w:szCs w:val="24"/>
              </w:rPr>
              <w:lastRenderedPageBreak/>
              <w:t xml:space="preserve">New addition to the tool:  </w:t>
            </w:r>
            <w:r w:rsidRPr="0041377A">
              <w:rPr>
                <w:sz w:val="24"/>
                <w:szCs w:val="24"/>
              </w:rPr>
              <w:t>Population vaccination coverage – HPV vaccination coverage for one dose (females 12-13 years old) (PHOF indicator 3.03xii)</w:t>
            </w:r>
            <w:r>
              <w:rPr>
                <w:sz w:val="24"/>
                <w:szCs w:val="24"/>
              </w:rPr>
              <w:t>, 2014/15</w:t>
            </w:r>
          </w:p>
          <w:p w14:paraId="3BAB127E" w14:textId="77777777" w:rsidR="00CF6E95" w:rsidRPr="00D7540E" w:rsidRDefault="00CF6E95" w:rsidP="00AB2430">
            <w:pPr>
              <w:pStyle w:val="ListParagraph"/>
              <w:numPr>
                <w:ilvl w:val="0"/>
                <w:numId w:val="1"/>
              </w:numPr>
              <w:ind w:left="293" w:right="-250" w:hanging="259"/>
              <w:rPr>
                <w:sz w:val="24"/>
                <w:szCs w:val="24"/>
              </w:rPr>
            </w:pPr>
            <w:r w:rsidRPr="00D7540E">
              <w:rPr>
                <w:sz w:val="24"/>
                <w:szCs w:val="24"/>
              </w:rPr>
              <w:t xml:space="preserve">Addition of trend markers for indicators with at least 5 consecutive non-overlapping data points to highlight those indicators with statistically significant trends. </w:t>
            </w:r>
          </w:p>
        </w:tc>
      </w:tr>
      <w:tr w:rsidR="00CF6E95" w:rsidRPr="0045648D" w14:paraId="60BAAF68" w14:textId="77777777" w:rsidTr="0020488A">
        <w:tc>
          <w:tcPr>
            <w:tcW w:w="2184" w:type="dxa"/>
            <w:tcBorders>
              <w:top w:val="single" w:sz="4" w:space="0" w:color="auto"/>
              <w:bottom w:val="single" w:sz="4" w:space="0" w:color="auto"/>
            </w:tcBorders>
            <w:shd w:val="pct5" w:color="auto" w:fill="auto"/>
          </w:tcPr>
          <w:p w14:paraId="3C5C487D" w14:textId="77777777" w:rsidR="00CF6E95" w:rsidRDefault="00CF6E95" w:rsidP="00AB2430">
            <w:pPr>
              <w:rPr>
                <w:i/>
                <w:sz w:val="28"/>
                <w:szCs w:val="28"/>
              </w:rPr>
            </w:pPr>
            <w:r>
              <w:rPr>
                <w:i/>
                <w:sz w:val="28"/>
                <w:szCs w:val="28"/>
              </w:rPr>
              <w:lastRenderedPageBreak/>
              <w:t>November</w:t>
            </w:r>
          </w:p>
        </w:tc>
        <w:tc>
          <w:tcPr>
            <w:tcW w:w="7739" w:type="dxa"/>
            <w:tcBorders>
              <w:top w:val="single" w:sz="4" w:space="0" w:color="auto"/>
              <w:bottom w:val="single" w:sz="4" w:space="0" w:color="auto"/>
            </w:tcBorders>
            <w:shd w:val="pct5" w:color="auto" w:fill="auto"/>
          </w:tcPr>
          <w:p w14:paraId="3B55AC2B" w14:textId="77777777" w:rsidR="00CF6E95" w:rsidRPr="0045648D" w:rsidRDefault="00CF6E95" w:rsidP="00AB2430">
            <w:pPr>
              <w:pStyle w:val="ListParagraph"/>
              <w:ind w:left="293" w:right="-300"/>
              <w:rPr>
                <w:sz w:val="24"/>
                <w:szCs w:val="24"/>
              </w:rPr>
            </w:pPr>
          </w:p>
        </w:tc>
      </w:tr>
      <w:tr w:rsidR="00CF6E95" w:rsidRPr="007A1C39" w14:paraId="29239296" w14:textId="77777777" w:rsidTr="0020488A">
        <w:tc>
          <w:tcPr>
            <w:tcW w:w="2184" w:type="dxa"/>
            <w:tcBorders>
              <w:top w:val="single" w:sz="4" w:space="0" w:color="auto"/>
              <w:bottom w:val="single" w:sz="4" w:space="0" w:color="auto"/>
            </w:tcBorders>
            <w:shd w:val="clear" w:color="auto" w:fill="auto"/>
          </w:tcPr>
          <w:p w14:paraId="74E8150D" w14:textId="77777777" w:rsidR="00CF6E95" w:rsidRDefault="00CF6E95" w:rsidP="00AB2430">
            <w:pPr>
              <w:rPr>
                <w:i/>
                <w:sz w:val="28"/>
                <w:szCs w:val="28"/>
              </w:rPr>
            </w:pPr>
          </w:p>
        </w:tc>
        <w:tc>
          <w:tcPr>
            <w:tcW w:w="7739" w:type="dxa"/>
            <w:tcBorders>
              <w:top w:val="single" w:sz="4" w:space="0" w:color="auto"/>
              <w:bottom w:val="single" w:sz="4" w:space="0" w:color="auto"/>
            </w:tcBorders>
            <w:shd w:val="clear" w:color="auto" w:fill="auto"/>
          </w:tcPr>
          <w:p w14:paraId="067C7FA0" w14:textId="77777777" w:rsidR="00CF6E95" w:rsidRDefault="00CF6E95" w:rsidP="00AB2430">
            <w:pPr>
              <w:pStyle w:val="ListParagraph"/>
              <w:numPr>
                <w:ilvl w:val="0"/>
                <w:numId w:val="1"/>
              </w:numPr>
              <w:ind w:left="293" w:right="-300" w:hanging="259"/>
              <w:rPr>
                <w:sz w:val="24"/>
                <w:szCs w:val="24"/>
              </w:rPr>
            </w:pPr>
            <w:r>
              <w:rPr>
                <w:sz w:val="24"/>
                <w:szCs w:val="24"/>
              </w:rPr>
              <w:t>Sexual offences rate update to 2015/16</w:t>
            </w:r>
          </w:p>
          <w:p w14:paraId="7138BFD0" w14:textId="77777777" w:rsidR="00CF6E95" w:rsidRPr="007A1C39" w:rsidRDefault="00CF6E95" w:rsidP="00AB2430">
            <w:pPr>
              <w:pStyle w:val="ListParagraph"/>
              <w:numPr>
                <w:ilvl w:val="0"/>
                <w:numId w:val="1"/>
              </w:numPr>
              <w:ind w:left="293" w:right="-300" w:hanging="259"/>
              <w:rPr>
                <w:sz w:val="24"/>
                <w:szCs w:val="24"/>
              </w:rPr>
            </w:pPr>
            <w:r>
              <w:rPr>
                <w:sz w:val="24"/>
                <w:szCs w:val="24"/>
              </w:rPr>
              <w:t>First time entrants to the youth justice system rate update to 2015</w:t>
            </w:r>
          </w:p>
        </w:tc>
      </w:tr>
    </w:tbl>
    <w:p w14:paraId="54BB606E" w14:textId="77777777" w:rsidR="00083EAB" w:rsidRDefault="00083EAB" w:rsidP="00083EAB">
      <w:pPr>
        <w:spacing w:after="0" w:line="240" w:lineRule="auto"/>
      </w:pPr>
    </w:p>
    <w:tbl>
      <w:tblPr>
        <w:tblStyle w:val="TableGrid"/>
        <w:tblW w:w="9923" w:type="dxa"/>
        <w:tblBorders>
          <w:left w:val="none" w:sz="0" w:space="0" w:color="auto"/>
          <w:right w:val="none" w:sz="0" w:space="0" w:color="auto"/>
        </w:tblBorders>
        <w:tblLook w:val="04A0" w:firstRow="1" w:lastRow="0" w:firstColumn="1" w:lastColumn="0" w:noHBand="0" w:noVBand="1"/>
      </w:tblPr>
      <w:tblGrid>
        <w:gridCol w:w="2184"/>
        <w:gridCol w:w="7739"/>
      </w:tblGrid>
      <w:tr w:rsidR="00CF6E95" w:rsidRPr="007F392D" w14:paraId="77F040EF" w14:textId="77777777" w:rsidTr="0020488A">
        <w:tc>
          <w:tcPr>
            <w:tcW w:w="2184" w:type="dxa"/>
            <w:shd w:val="clear" w:color="auto" w:fill="92CDDC" w:themeFill="accent5" w:themeFillTint="99"/>
          </w:tcPr>
          <w:p w14:paraId="336F30EE" w14:textId="77777777" w:rsidR="00CF6E95" w:rsidRPr="007F392D" w:rsidRDefault="00CF6E95" w:rsidP="00AB2430">
            <w:pPr>
              <w:rPr>
                <w:b/>
                <w:sz w:val="28"/>
                <w:szCs w:val="28"/>
              </w:rPr>
            </w:pPr>
            <w:r>
              <w:rPr>
                <w:b/>
                <w:sz w:val="28"/>
                <w:szCs w:val="28"/>
              </w:rPr>
              <w:t>201</w:t>
            </w:r>
            <w:r w:rsidRPr="007F392D">
              <w:rPr>
                <w:b/>
                <w:sz w:val="28"/>
                <w:szCs w:val="28"/>
              </w:rPr>
              <w:t>5</w:t>
            </w:r>
          </w:p>
        </w:tc>
        <w:tc>
          <w:tcPr>
            <w:tcW w:w="7739" w:type="dxa"/>
            <w:shd w:val="clear" w:color="auto" w:fill="92CDDC" w:themeFill="accent5" w:themeFillTint="99"/>
          </w:tcPr>
          <w:p w14:paraId="4BB4F38D" w14:textId="77777777" w:rsidR="00CF6E95" w:rsidRPr="007F392D" w:rsidRDefault="00CF6E95" w:rsidP="00AB2430">
            <w:pPr>
              <w:rPr>
                <w:b/>
                <w:sz w:val="28"/>
                <w:szCs w:val="28"/>
              </w:rPr>
            </w:pPr>
            <w:r>
              <w:rPr>
                <w:b/>
                <w:sz w:val="28"/>
                <w:szCs w:val="28"/>
              </w:rPr>
              <w:t>Updates</w:t>
            </w:r>
          </w:p>
        </w:tc>
      </w:tr>
      <w:tr w:rsidR="00CF6E95" w:rsidRPr="00BF02BB" w14:paraId="633532BD" w14:textId="77777777" w:rsidTr="0020488A">
        <w:tc>
          <w:tcPr>
            <w:tcW w:w="2184" w:type="dxa"/>
            <w:tcBorders>
              <w:bottom w:val="nil"/>
            </w:tcBorders>
            <w:shd w:val="clear" w:color="auto" w:fill="F2F2F2" w:themeFill="background1" w:themeFillShade="F2"/>
          </w:tcPr>
          <w:p w14:paraId="56F8136C" w14:textId="77777777" w:rsidR="00CF6E95" w:rsidRPr="007F392D" w:rsidRDefault="00CF6E95" w:rsidP="00AB2430">
            <w:pPr>
              <w:rPr>
                <w:i/>
                <w:sz w:val="28"/>
                <w:szCs w:val="28"/>
              </w:rPr>
            </w:pPr>
            <w:r w:rsidRPr="007F392D">
              <w:rPr>
                <w:i/>
                <w:sz w:val="28"/>
                <w:szCs w:val="28"/>
              </w:rPr>
              <w:t>February</w:t>
            </w:r>
          </w:p>
        </w:tc>
        <w:tc>
          <w:tcPr>
            <w:tcW w:w="7739" w:type="dxa"/>
            <w:tcBorders>
              <w:bottom w:val="nil"/>
            </w:tcBorders>
            <w:shd w:val="clear" w:color="auto" w:fill="F2F2F2" w:themeFill="background1" w:themeFillShade="F2"/>
          </w:tcPr>
          <w:p w14:paraId="060E0728" w14:textId="77777777" w:rsidR="00CF6E95" w:rsidRPr="00BF02BB" w:rsidRDefault="00CF6E95" w:rsidP="00AB2430">
            <w:pPr>
              <w:rPr>
                <w:i/>
                <w:sz w:val="24"/>
                <w:szCs w:val="24"/>
              </w:rPr>
            </w:pPr>
          </w:p>
        </w:tc>
      </w:tr>
      <w:tr w:rsidR="00CF6E95" w:rsidRPr="00542FAD" w14:paraId="6F4B15E2" w14:textId="77777777" w:rsidTr="0020488A">
        <w:tc>
          <w:tcPr>
            <w:tcW w:w="2184" w:type="dxa"/>
            <w:tcBorders>
              <w:top w:val="nil"/>
            </w:tcBorders>
          </w:tcPr>
          <w:p w14:paraId="0AE8791F" w14:textId="77777777" w:rsidR="00CF6E95" w:rsidRPr="00DB583C" w:rsidRDefault="00CF6E95" w:rsidP="00AB2430">
            <w:pPr>
              <w:rPr>
                <w:sz w:val="28"/>
                <w:szCs w:val="28"/>
              </w:rPr>
            </w:pPr>
          </w:p>
        </w:tc>
        <w:tc>
          <w:tcPr>
            <w:tcW w:w="7739" w:type="dxa"/>
            <w:tcBorders>
              <w:top w:val="nil"/>
            </w:tcBorders>
          </w:tcPr>
          <w:p w14:paraId="137B426D" w14:textId="77777777" w:rsidR="00CF6E95" w:rsidRPr="00542FAD" w:rsidRDefault="00CF6E95" w:rsidP="00AB2430">
            <w:pPr>
              <w:pStyle w:val="ListParagraph"/>
              <w:numPr>
                <w:ilvl w:val="0"/>
                <w:numId w:val="4"/>
              </w:numPr>
              <w:ind w:left="357" w:hanging="357"/>
              <w:rPr>
                <w:i/>
                <w:sz w:val="24"/>
                <w:szCs w:val="24"/>
              </w:rPr>
            </w:pPr>
            <w:r w:rsidRPr="00542FAD">
              <w:rPr>
                <w:sz w:val="24"/>
                <w:szCs w:val="24"/>
              </w:rPr>
              <w:t xml:space="preserve">All new STI diagnoses (excluding Chlamydia in under </w:t>
            </w:r>
            <w:proofErr w:type="gramStart"/>
            <w:r w:rsidRPr="00542FAD">
              <w:rPr>
                <w:sz w:val="24"/>
                <w:szCs w:val="24"/>
              </w:rPr>
              <w:t>25 year</w:t>
            </w:r>
            <w:proofErr w:type="gramEnd"/>
            <w:r w:rsidRPr="00542FAD">
              <w:rPr>
                <w:sz w:val="24"/>
                <w:szCs w:val="24"/>
              </w:rPr>
              <w:t xml:space="preserve"> olds) per 100,000 population aged 15 to 64</w:t>
            </w:r>
            <w:r>
              <w:rPr>
                <w:sz w:val="24"/>
                <w:szCs w:val="24"/>
              </w:rPr>
              <w:t xml:space="preserve"> for 2012 and 2013 </w:t>
            </w:r>
          </w:p>
          <w:p w14:paraId="7AB010DB" w14:textId="77777777" w:rsidR="00CF6E95" w:rsidRDefault="00CF6E95" w:rsidP="00AB2430">
            <w:pPr>
              <w:pStyle w:val="ListParagraph"/>
              <w:numPr>
                <w:ilvl w:val="0"/>
                <w:numId w:val="4"/>
              </w:numPr>
              <w:ind w:left="357" w:hanging="357"/>
              <w:rPr>
                <w:sz w:val="24"/>
                <w:szCs w:val="24"/>
              </w:rPr>
            </w:pPr>
            <w:r w:rsidRPr="00542FAD">
              <w:rPr>
                <w:sz w:val="24"/>
                <w:szCs w:val="24"/>
              </w:rPr>
              <w:t xml:space="preserve">STI testing rate (excluding Chlamydia in under </w:t>
            </w:r>
            <w:proofErr w:type="gramStart"/>
            <w:r w:rsidRPr="00542FAD">
              <w:rPr>
                <w:sz w:val="24"/>
                <w:szCs w:val="24"/>
              </w:rPr>
              <w:t>25 year</w:t>
            </w:r>
            <w:proofErr w:type="gramEnd"/>
            <w:r w:rsidRPr="00542FAD">
              <w:rPr>
                <w:sz w:val="24"/>
                <w:szCs w:val="24"/>
              </w:rPr>
              <w:t xml:space="preserve"> olds) per 100,000 population aged 15 to 64</w:t>
            </w:r>
            <w:r>
              <w:rPr>
                <w:sz w:val="24"/>
                <w:szCs w:val="24"/>
              </w:rPr>
              <w:t xml:space="preserve"> for 2012 and 2013</w:t>
            </w:r>
          </w:p>
          <w:p w14:paraId="4F83A9C7" w14:textId="77777777" w:rsidR="00CF6E95" w:rsidRDefault="00CF6E95" w:rsidP="00AB2430">
            <w:pPr>
              <w:pStyle w:val="ListParagraph"/>
              <w:numPr>
                <w:ilvl w:val="0"/>
                <w:numId w:val="4"/>
              </w:numPr>
              <w:ind w:left="357" w:hanging="357"/>
              <w:rPr>
                <w:sz w:val="24"/>
                <w:szCs w:val="24"/>
              </w:rPr>
            </w:pPr>
            <w:r w:rsidRPr="00F2080D">
              <w:rPr>
                <w:sz w:val="24"/>
                <w:szCs w:val="24"/>
              </w:rPr>
              <w:t xml:space="preserve">STI testing positivity </w:t>
            </w:r>
            <w:proofErr w:type="gramStart"/>
            <w:r w:rsidRPr="00F2080D">
              <w:rPr>
                <w:sz w:val="24"/>
                <w:szCs w:val="24"/>
              </w:rPr>
              <w:t>rate  (</w:t>
            </w:r>
            <w:proofErr w:type="gramEnd"/>
            <w:r w:rsidRPr="00F2080D">
              <w:rPr>
                <w:sz w:val="24"/>
                <w:szCs w:val="24"/>
              </w:rPr>
              <w:t>excluding Chlamydia in under 25 year olds) percent</w:t>
            </w:r>
            <w:r>
              <w:rPr>
                <w:sz w:val="24"/>
                <w:szCs w:val="24"/>
              </w:rPr>
              <w:t xml:space="preserve"> for 2012 and 2013</w:t>
            </w:r>
          </w:p>
          <w:p w14:paraId="091519D4" w14:textId="77777777" w:rsidR="00CF6E95" w:rsidRDefault="00CF6E95" w:rsidP="00AB2430">
            <w:pPr>
              <w:pStyle w:val="ListParagraph"/>
              <w:numPr>
                <w:ilvl w:val="0"/>
                <w:numId w:val="4"/>
              </w:numPr>
              <w:ind w:left="357" w:hanging="357"/>
              <w:rPr>
                <w:sz w:val="24"/>
                <w:szCs w:val="24"/>
              </w:rPr>
            </w:pPr>
            <w:r w:rsidRPr="00C67B67">
              <w:rPr>
                <w:sz w:val="24"/>
                <w:szCs w:val="24"/>
              </w:rPr>
              <w:t>Population vaccine coverage - HPV (PHOF indicator 3.03xii) update to 2013/14</w:t>
            </w:r>
          </w:p>
          <w:p w14:paraId="098C8806" w14:textId="77777777" w:rsidR="00CF6E95" w:rsidRPr="00542FAD" w:rsidRDefault="00CF6E95" w:rsidP="00AB2430">
            <w:pPr>
              <w:pStyle w:val="ListParagraph"/>
              <w:numPr>
                <w:ilvl w:val="0"/>
                <w:numId w:val="4"/>
              </w:numPr>
              <w:ind w:left="357" w:hanging="357"/>
              <w:rPr>
                <w:sz w:val="24"/>
                <w:szCs w:val="24"/>
              </w:rPr>
            </w:pPr>
            <w:r w:rsidRPr="007D55C2">
              <w:rPr>
                <w:sz w:val="24"/>
                <w:szCs w:val="24"/>
              </w:rPr>
              <w:t>Percentage of under 16s in poverty (PHOF indicator 1.01ii) update to 2012</w:t>
            </w:r>
          </w:p>
        </w:tc>
      </w:tr>
      <w:tr w:rsidR="00CF6E95" w:rsidRPr="007F392D" w14:paraId="53E41AA1" w14:textId="77777777" w:rsidTr="0020488A">
        <w:tc>
          <w:tcPr>
            <w:tcW w:w="2184" w:type="dxa"/>
            <w:tcBorders>
              <w:bottom w:val="nil"/>
            </w:tcBorders>
            <w:shd w:val="clear" w:color="auto" w:fill="F2F2F2" w:themeFill="background1" w:themeFillShade="F2"/>
          </w:tcPr>
          <w:p w14:paraId="2E9378C9" w14:textId="77777777" w:rsidR="00CF6E95" w:rsidRPr="007F392D" w:rsidRDefault="00CF6E95" w:rsidP="00AB2430">
            <w:pPr>
              <w:rPr>
                <w:i/>
                <w:sz w:val="28"/>
                <w:szCs w:val="28"/>
              </w:rPr>
            </w:pPr>
            <w:r>
              <w:rPr>
                <w:i/>
                <w:sz w:val="28"/>
                <w:szCs w:val="28"/>
              </w:rPr>
              <w:t>March</w:t>
            </w:r>
          </w:p>
        </w:tc>
        <w:tc>
          <w:tcPr>
            <w:tcW w:w="7739" w:type="dxa"/>
            <w:tcBorders>
              <w:bottom w:val="nil"/>
            </w:tcBorders>
            <w:shd w:val="clear" w:color="auto" w:fill="F2F2F2" w:themeFill="background1" w:themeFillShade="F2"/>
          </w:tcPr>
          <w:p w14:paraId="6A8D9042" w14:textId="77777777" w:rsidR="00CF6E95" w:rsidRPr="007F392D" w:rsidRDefault="00CF6E95" w:rsidP="00AB2430">
            <w:pPr>
              <w:rPr>
                <w:i/>
                <w:sz w:val="28"/>
                <w:szCs w:val="28"/>
              </w:rPr>
            </w:pPr>
          </w:p>
        </w:tc>
      </w:tr>
      <w:tr w:rsidR="00CF6E95" w:rsidRPr="007950BD" w14:paraId="18C38C12" w14:textId="77777777" w:rsidTr="0020488A">
        <w:tc>
          <w:tcPr>
            <w:tcW w:w="2184" w:type="dxa"/>
            <w:tcBorders>
              <w:top w:val="nil"/>
            </w:tcBorders>
          </w:tcPr>
          <w:p w14:paraId="70DE667B" w14:textId="77777777" w:rsidR="00CF6E95" w:rsidRPr="00DB583C" w:rsidRDefault="00CF6E95" w:rsidP="00AB2430">
            <w:pPr>
              <w:rPr>
                <w:sz w:val="28"/>
                <w:szCs w:val="28"/>
              </w:rPr>
            </w:pPr>
          </w:p>
        </w:tc>
        <w:tc>
          <w:tcPr>
            <w:tcW w:w="7739" w:type="dxa"/>
            <w:tcBorders>
              <w:top w:val="nil"/>
            </w:tcBorders>
          </w:tcPr>
          <w:p w14:paraId="1F0E6E47" w14:textId="77777777" w:rsidR="00CF6E95" w:rsidRDefault="00CF6E95" w:rsidP="00AB2430">
            <w:pPr>
              <w:pStyle w:val="ListParagraph"/>
              <w:numPr>
                <w:ilvl w:val="0"/>
                <w:numId w:val="4"/>
              </w:numPr>
              <w:ind w:left="357" w:hanging="357"/>
              <w:rPr>
                <w:sz w:val="24"/>
                <w:szCs w:val="24"/>
              </w:rPr>
            </w:pPr>
            <w:r w:rsidRPr="000946DE">
              <w:rPr>
                <w:sz w:val="24"/>
                <w:szCs w:val="24"/>
              </w:rPr>
              <w:t>Pelvic inflammatory disease admissions</w:t>
            </w:r>
            <w:r>
              <w:rPr>
                <w:sz w:val="24"/>
                <w:szCs w:val="24"/>
              </w:rPr>
              <w:t xml:space="preserve"> indicator update for 2013/14</w:t>
            </w:r>
          </w:p>
          <w:p w14:paraId="07A95B5C" w14:textId="77777777" w:rsidR="00CF6E95" w:rsidRDefault="00CF6E95" w:rsidP="00AB2430">
            <w:pPr>
              <w:pStyle w:val="ListParagraph"/>
              <w:numPr>
                <w:ilvl w:val="0"/>
                <w:numId w:val="4"/>
              </w:numPr>
              <w:ind w:left="357" w:hanging="357"/>
              <w:rPr>
                <w:sz w:val="24"/>
                <w:szCs w:val="24"/>
              </w:rPr>
            </w:pPr>
            <w:r w:rsidRPr="007950BD">
              <w:rPr>
                <w:sz w:val="24"/>
                <w:szCs w:val="24"/>
              </w:rPr>
              <w:t>Ectopic pregnancy admission indicator update for 2013/14</w:t>
            </w:r>
          </w:p>
          <w:p w14:paraId="0722896E" w14:textId="77777777" w:rsidR="00CF6E95" w:rsidRDefault="00CF6E95" w:rsidP="00AB2430">
            <w:pPr>
              <w:pStyle w:val="ListParagraph"/>
              <w:numPr>
                <w:ilvl w:val="0"/>
                <w:numId w:val="4"/>
              </w:numPr>
              <w:ind w:left="357" w:hanging="357"/>
              <w:rPr>
                <w:sz w:val="24"/>
                <w:szCs w:val="24"/>
              </w:rPr>
            </w:pPr>
            <w:r w:rsidRPr="00443DC8">
              <w:rPr>
                <w:sz w:val="24"/>
                <w:szCs w:val="24"/>
              </w:rPr>
              <w:t>Cervical cancer indicator update for 2010-12 and revised 2009-11</w:t>
            </w:r>
          </w:p>
          <w:p w14:paraId="52FEEC7E" w14:textId="77777777" w:rsidR="00CF6E95" w:rsidRPr="007950BD" w:rsidRDefault="00CF6E95" w:rsidP="00AB2430">
            <w:pPr>
              <w:pStyle w:val="ListParagraph"/>
              <w:numPr>
                <w:ilvl w:val="0"/>
                <w:numId w:val="4"/>
              </w:numPr>
              <w:ind w:left="357" w:hanging="357"/>
              <w:rPr>
                <w:sz w:val="24"/>
                <w:szCs w:val="24"/>
              </w:rPr>
            </w:pPr>
            <w:r w:rsidRPr="00C67B67">
              <w:rPr>
                <w:sz w:val="24"/>
                <w:szCs w:val="24"/>
              </w:rPr>
              <w:t>Teenage pregnancy indicators - update for 2013 and revise</w:t>
            </w:r>
            <w:r>
              <w:rPr>
                <w:sz w:val="24"/>
                <w:szCs w:val="24"/>
              </w:rPr>
              <w:t>d</w:t>
            </w:r>
            <w:r w:rsidRPr="00C67B67">
              <w:rPr>
                <w:sz w:val="24"/>
                <w:szCs w:val="24"/>
              </w:rPr>
              <w:t xml:space="preserve"> definitions for under 18s abortions and births indicators</w:t>
            </w:r>
          </w:p>
        </w:tc>
      </w:tr>
      <w:tr w:rsidR="00CF6E95" w:rsidRPr="00717B98" w14:paraId="7E39C105" w14:textId="77777777" w:rsidTr="0020488A">
        <w:tc>
          <w:tcPr>
            <w:tcW w:w="2184" w:type="dxa"/>
            <w:tcBorders>
              <w:bottom w:val="nil"/>
            </w:tcBorders>
            <w:shd w:val="clear" w:color="auto" w:fill="F2F2F2" w:themeFill="background1" w:themeFillShade="F2"/>
          </w:tcPr>
          <w:p w14:paraId="20E15067" w14:textId="77777777" w:rsidR="00CF6E95" w:rsidRPr="007F392D" w:rsidRDefault="00CF6E95" w:rsidP="00AB2430">
            <w:pPr>
              <w:ind w:right="-300"/>
              <w:rPr>
                <w:i/>
                <w:sz w:val="28"/>
                <w:szCs w:val="28"/>
              </w:rPr>
            </w:pPr>
            <w:r>
              <w:rPr>
                <w:i/>
                <w:sz w:val="28"/>
                <w:szCs w:val="28"/>
              </w:rPr>
              <w:t>May</w:t>
            </w:r>
          </w:p>
        </w:tc>
        <w:tc>
          <w:tcPr>
            <w:tcW w:w="7739" w:type="dxa"/>
            <w:tcBorders>
              <w:bottom w:val="nil"/>
            </w:tcBorders>
            <w:shd w:val="clear" w:color="auto" w:fill="F2F2F2" w:themeFill="background1" w:themeFillShade="F2"/>
          </w:tcPr>
          <w:p w14:paraId="7ED64C4A" w14:textId="77777777" w:rsidR="00CF6E95" w:rsidRPr="00717B98" w:rsidRDefault="00CF6E95" w:rsidP="00AB2430">
            <w:pPr>
              <w:ind w:right="-300"/>
              <w:rPr>
                <w:sz w:val="24"/>
                <w:szCs w:val="24"/>
              </w:rPr>
            </w:pPr>
          </w:p>
        </w:tc>
      </w:tr>
      <w:tr w:rsidR="00CF6E95" w:rsidRPr="000268F1" w14:paraId="58147A81" w14:textId="77777777" w:rsidTr="0020488A">
        <w:tc>
          <w:tcPr>
            <w:tcW w:w="2184" w:type="dxa"/>
            <w:tcBorders>
              <w:top w:val="nil"/>
              <w:bottom w:val="single" w:sz="4" w:space="0" w:color="auto"/>
            </w:tcBorders>
            <w:shd w:val="clear" w:color="auto" w:fill="auto"/>
          </w:tcPr>
          <w:p w14:paraId="08AECCB0" w14:textId="77777777" w:rsidR="00CF6E95" w:rsidRPr="007F392D" w:rsidRDefault="00CF6E95" w:rsidP="00AB2430">
            <w:pPr>
              <w:ind w:right="-300"/>
              <w:rPr>
                <w:i/>
                <w:sz w:val="28"/>
                <w:szCs w:val="28"/>
              </w:rPr>
            </w:pPr>
          </w:p>
        </w:tc>
        <w:tc>
          <w:tcPr>
            <w:tcW w:w="7739" w:type="dxa"/>
            <w:tcBorders>
              <w:top w:val="nil"/>
              <w:bottom w:val="single" w:sz="4" w:space="0" w:color="auto"/>
            </w:tcBorders>
            <w:shd w:val="clear" w:color="auto" w:fill="auto"/>
          </w:tcPr>
          <w:p w14:paraId="34EF36C2" w14:textId="77777777" w:rsidR="00CF6E95" w:rsidRPr="000268F1" w:rsidRDefault="00CF6E95" w:rsidP="00AB2430">
            <w:pPr>
              <w:pStyle w:val="ListParagraph"/>
              <w:numPr>
                <w:ilvl w:val="0"/>
                <w:numId w:val="14"/>
              </w:numPr>
              <w:ind w:right="-300"/>
              <w:rPr>
                <w:sz w:val="24"/>
                <w:szCs w:val="24"/>
              </w:rPr>
            </w:pPr>
            <w:r>
              <w:rPr>
                <w:sz w:val="24"/>
                <w:szCs w:val="24"/>
              </w:rPr>
              <w:t xml:space="preserve">New ‘Compare indicators’ function enabling you to explore the relationship between two indicators. For further advice see: </w:t>
            </w:r>
            <w:hyperlink r:id="rId9" w:history="1">
              <w:r w:rsidRPr="004D6F86">
                <w:rPr>
                  <w:rStyle w:val="Hyperlink"/>
                  <w:sz w:val="24"/>
                  <w:szCs w:val="24"/>
                </w:rPr>
                <w:t>here</w:t>
              </w:r>
            </w:hyperlink>
          </w:p>
        </w:tc>
      </w:tr>
      <w:tr w:rsidR="00CF6E95" w:rsidRPr="00717B98" w14:paraId="2F801C66" w14:textId="77777777" w:rsidTr="0020488A">
        <w:tc>
          <w:tcPr>
            <w:tcW w:w="2184" w:type="dxa"/>
            <w:tcBorders>
              <w:top w:val="single" w:sz="4" w:space="0" w:color="auto"/>
              <w:bottom w:val="nil"/>
            </w:tcBorders>
            <w:shd w:val="clear" w:color="auto" w:fill="F2F2F2" w:themeFill="background1" w:themeFillShade="F2"/>
          </w:tcPr>
          <w:p w14:paraId="24AC9263" w14:textId="77777777" w:rsidR="00CF6E95" w:rsidRPr="007F392D" w:rsidRDefault="00CF6E95" w:rsidP="00AB2430">
            <w:pPr>
              <w:ind w:right="-300"/>
              <w:rPr>
                <w:i/>
                <w:sz w:val="28"/>
                <w:szCs w:val="28"/>
              </w:rPr>
            </w:pPr>
            <w:r w:rsidRPr="007F392D">
              <w:rPr>
                <w:i/>
                <w:sz w:val="28"/>
                <w:szCs w:val="28"/>
              </w:rPr>
              <w:t>June</w:t>
            </w:r>
          </w:p>
        </w:tc>
        <w:tc>
          <w:tcPr>
            <w:tcW w:w="7739" w:type="dxa"/>
            <w:tcBorders>
              <w:top w:val="single" w:sz="4" w:space="0" w:color="auto"/>
              <w:bottom w:val="nil"/>
            </w:tcBorders>
            <w:shd w:val="clear" w:color="auto" w:fill="F2F2F2" w:themeFill="background1" w:themeFillShade="F2"/>
          </w:tcPr>
          <w:p w14:paraId="0B78AC8C" w14:textId="77777777" w:rsidR="00CF6E95" w:rsidRPr="00717B98" w:rsidRDefault="00CF6E95" w:rsidP="00AB2430">
            <w:pPr>
              <w:ind w:right="-300"/>
              <w:rPr>
                <w:sz w:val="24"/>
                <w:szCs w:val="24"/>
              </w:rPr>
            </w:pPr>
          </w:p>
        </w:tc>
      </w:tr>
      <w:tr w:rsidR="00CF6E95" w:rsidRPr="00872E7C" w14:paraId="0B5A4DCA" w14:textId="77777777" w:rsidTr="0020488A">
        <w:tc>
          <w:tcPr>
            <w:tcW w:w="2184" w:type="dxa"/>
            <w:tcBorders>
              <w:top w:val="nil"/>
            </w:tcBorders>
          </w:tcPr>
          <w:p w14:paraId="60CE4EF8" w14:textId="77777777" w:rsidR="00CF6E95" w:rsidRPr="00DB583C" w:rsidRDefault="00CF6E95" w:rsidP="00AB2430">
            <w:pPr>
              <w:ind w:right="-300"/>
              <w:rPr>
                <w:sz w:val="28"/>
                <w:szCs w:val="28"/>
              </w:rPr>
            </w:pPr>
          </w:p>
        </w:tc>
        <w:tc>
          <w:tcPr>
            <w:tcW w:w="7739" w:type="dxa"/>
            <w:tcBorders>
              <w:top w:val="nil"/>
            </w:tcBorders>
          </w:tcPr>
          <w:p w14:paraId="65B858BB" w14:textId="77777777" w:rsidR="00CF6E95" w:rsidRDefault="00CF6E95" w:rsidP="00AB2430">
            <w:pPr>
              <w:pStyle w:val="ListParagraph"/>
              <w:numPr>
                <w:ilvl w:val="0"/>
                <w:numId w:val="1"/>
              </w:numPr>
              <w:ind w:left="293" w:right="-300" w:hanging="259"/>
              <w:rPr>
                <w:sz w:val="24"/>
                <w:szCs w:val="24"/>
              </w:rPr>
            </w:pPr>
            <w:r>
              <w:rPr>
                <w:sz w:val="24"/>
                <w:szCs w:val="24"/>
              </w:rPr>
              <w:t>Proportion of TB cases offered an HIV test</w:t>
            </w:r>
            <w:r>
              <w:rPr>
                <w:color w:val="1F497D"/>
              </w:rPr>
              <w:t xml:space="preserve"> </w:t>
            </w:r>
            <w:r w:rsidRPr="00AF0509">
              <w:rPr>
                <w:sz w:val="24"/>
                <w:szCs w:val="24"/>
              </w:rPr>
              <w:t>(TB Strategy Monitoring Indicators), 20</w:t>
            </w:r>
            <w:r>
              <w:rPr>
                <w:sz w:val="24"/>
                <w:szCs w:val="24"/>
              </w:rPr>
              <w:t>12 and 2013 – new addition to the tool</w:t>
            </w:r>
          </w:p>
          <w:p w14:paraId="6C30F990" w14:textId="77777777" w:rsidR="00CF6E95" w:rsidRDefault="00CF6E95" w:rsidP="00AB2430">
            <w:pPr>
              <w:pStyle w:val="ListParagraph"/>
              <w:numPr>
                <w:ilvl w:val="0"/>
                <w:numId w:val="1"/>
              </w:numPr>
              <w:ind w:left="293" w:right="-300" w:hanging="259"/>
              <w:rPr>
                <w:sz w:val="24"/>
                <w:szCs w:val="24"/>
              </w:rPr>
            </w:pPr>
            <w:r>
              <w:rPr>
                <w:sz w:val="24"/>
                <w:szCs w:val="24"/>
              </w:rPr>
              <w:t>A</w:t>
            </w:r>
            <w:r w:rsidRPr="0054124B">
              <w:rPr>
                <w:sz w:val="24"/>
                <w:szCs w:val="24"/>
              </w:rPr>
              <w:t xml:space="preserve">ntenatal infectious disease </w:t>
            </w:r>
            <w:proofErr w:type="gramStart"/>
            <w:r w:rsidRPr="0054124B">
              <w:rPr>
                <w:sz w:val="24"/>
                <w:szCs w:val="24"/>
              </w:rPr>
              <w:t>screening  -</w:t>
            </w:r>
            <w:proofErr w:type="gramEnd"/>
            <w:r w:rsidRPr="0054124B">
              <w:rPr>
                <w:sz w:val="24"/>
                <w:szCs w:val="24"/>
              </w:rPr>
              <w:t xml:space="preserve"> HIV coverage</w:t>
            </w:r>
            <w:r>
              <w:rPr>
                <w:sz w:val="24"/>
                <w:szCs w:val="24"/>
              </w:rPr>
              <w:t xml:space="preserve"> (PHOF indicator 2.21i, region level only), 2013/14 – new addition to the tool</w:t>
            </w:r>
          </w:p>
          <w:p w14:paraId="2DE2FE47" w14:textId="77777777" w:rsidR="00CF6E95" w:rsidRDefault="00CF6E95" w:rsidP="00AB2430">
            <w:pPr>
              <w:pStyle w:val="ListParagraph"/>
              <w:numPr>
                <w:ilvl w:val="0"/>
                <w:numId w:val="1"/>
              </w:numPr>
              <w:ind w:left="293" w:right="-300" w:hanging="259"/>
              <w:rPr>
                <w:sz w:val="24"/>
                <w:szCs w:val="24"/>
              </w:rPr>
            </w:pPr>
            <w:r w:rsidRPr="00C61053">
              <w:rPr>
                <w:sz w:val="24"/>
                <w:szCs w:val="24"/>
              </w:rPr>
              <w:t>Under 18s</w:t>
            </w:r>
            <w:r>
              <w:rPr>
                <w:sz w:val="24"/>
                <w:szCs w:val="24"/>
              </w:rPr>
              <w:t xml:space="preserve"> alcohol-specific hospital admissions update to</w:t>
            </w:r>
            <w:r w:rsidRPr="00C61053">
              <w:rPr>
                <w:sz w:val="24"/>
                <w:szCs w:val="24"/>
              </w:rPr>
              <w:t xml:space="preserve"> </w:t>
            </w:r>
            <w:r>
              <w:rPr>
                <w:sz w:val="24"/>
                <w:szCs w:val="24"/>
              </w:rPr>
              <w:t>2011/12-2013/14</w:t>
            </w:r>
            <w:r w:rsidRPr="00C61053">
              <w:rPr>
                <w:sz w:val="24"/>
                <w:szCs w:val="24"/>
              </w:rPr>
              <w:t xml:space="preserve"> </w:t>
            </w:r>
            <w:r>
              <w:rPr>
                <w:sz w:val="24"/>
                <w:szCs w:val="24"/>
              </w:rPr>
              <w:t>(pooled)</w:t>
            </w:r>
          </w:p>
          <w:p w14:paraId="7841B218" w14:textId="77777777" w:rsidR="00CF6E95" w:rsidRPr="00872E7C" w:rsidRDefault="00CF6E95" w:rsidP="00AB2430">
            <w:pPr>
              <w:pStyle w:val="ListParagraph"/>
              <w:numPr>
                <w:ilvl w:val="0"/>
                <w:numId w:val="1"/>
              </w:numPr>
              <w:ind w:left="293" w:right="-300" w:hanging="259"/>
              <w:rPr>
                <w:sz w:val="24"/>
                <w:szCs w:val="24"/>
              </w:rPr>
            </w:pPr>
            <w:r>
              <w:rPr>
                <w:sz w:val="24"/>
                <w:szCs w:val="24"/>
              </w:rPr>
              <w:t>Most charts can now be downloaded as images (can be inserted in reports/presentations) or pdfs</w:t>
            </w:r>
          </w:p>
        </w:tc>
      </w:tr>
      <w:tr w:rsidR="00CF6E95" w:rsidRPr="007F392D" w14:paraId="29F6579D" w14:textId="77777777" w:rsidTr="0020488A">
        <w:tc>
          <w:tcPr>
            <w:tcW w:w="2184" w:type="dxa"/>
            <w:tcBorders>
              <w:bottom w:val="nil"/>
            </w:tcBorders>
            <w:shd w:val="clear" w:color="auto" w:fill="F2F2F2" w:themeFill="background1" w:themeFillShade="F2"/>
          </w:tcPr>
          <w:p w14:paraId="2266F6A8" w14:textId="77777777" w:rsidR="00CF6E95" w:rsidRPr="007F392D" w:rsidRDefault="00CF6E95" w:rsidP="00AB2430">
            <w:pPr>
              <w:ind w:right="-300"/>
              <w:rPr>
                <w:i/>
                <w:sz w:val="28"/>
                <w:szCs w:val="28"/>
              </w:rPr>
            </w:pPr>
            <w:r w:rsidRPr="007F392D">
              <w:rPr>
                <w:i/>
                <w:sz w:val="28"/>
                <w:szCs w:val="28"/>
              </w:rPr>
              <w:t>July</w:t>
            </w:r>
          </w:p>
        </w:tc>
        <w:tc>
          <w:tcPr>
            <w:tcW w:w="7739" w:type="dxa"/>
            <w:tcBorders>
              <w:bottom w:val="nil"/>
            </w:tcBorders>
            <w:shd w:val="clear" w:color="auto" w:fill="F2F2F2" w:themeFill="background1" w:themeFillShade="F2"/>
          </w:tcPr>
          <w:p w14:paraId="63114E51" w14:textId="77777777" w:rsidR="00CF6E95" w:rsidRPr="007F392D" w:rsidRDefault="00CF6E95" w:rsidP="00AB2430">
            <w:pPr>
              <w:ind w:right="-300"/>
              <w:rPr>
                <w:i/>
                <w:sz w:val="28"/>
                <w:szCs w:val="28"/>
              </w:rPr>
            </w:pPr>
          </w:p>
        </w:tc>
      </w:tr>
      <w:tr w:rsidR="00CF6E95" w:rsidRPr="0026397F" w14:paraId="617DE508" w14:textId="77777777" w:rsidTr="0020488A">
        <w:tc>
          <w:tcPr>
            <w:tcW w:w="2184" w:type="dxa"/>
            <w:tcBorders>
              <w:top w:val="nil"/>
            </w:tcBorders>
          </w:tcPr>
          <w:p w14:paraId="6A8BE1DF" w14:textId="77777777" w:rsidR="00CF6E95" w:rsidRDefault="00CF6E95" w:rsidP="00AB2430">
            <w:pPr>
              <w:ind w:right="-300"/>
              <w:jc w:val="right"/>
              <w:rPr>
                <w:sz w:val="24"/>
                <w:szCs w:val="24"/>
              </w:rPr>
            </w:pPr>
          </w:p>
          <w:p w14:paraId="13651EED" w14:textId="77777777" w:rsidR="00CF6E95" w:rsidRDefault="00CF6E95" w:rsidP="00AB2430">
            <w:pPr>
              <w:ind w:right="-300"/>
              <w:jc w:val="right"/>
              <w:rPr>
                <w:sz w:val="24"/>
                <w:szCs w:val="24"/>
              </w:rPr>
            </w:pPr>
          </w:p>
          <w:p w14:paraId="296027B1" w14:textId="77777777" w:rsidR="00CF6E95" w:rsidRDefault="00CF6E95" w:rsidP="00AB2430">
            <w:pPr>
              <w:ind w:right="-300"/>
              <w:jc w:val="right"/>
              <w:rPr>
                <w:sz w:val="24"/>
                <w:szCs w:val="24"/>
              </w:rPr>
            </w:pPr>
          </w:p>
          <w:p w14:paraId="68DF709D" w14:textId="77777777" w:rsidR="00CF6E95" w:rsidRPr="003A6347" w:rsidRDefault="00CF6E95" w:rsidP="00AB2430">
            <w:pPr>
              <w:ind w:right="-300"/>
              <w:rPr>
                <w:sz w:val="24"/>
                <w:szCs w:val="24"/>
              </w:rPr>
            </w:pPr>
          </w:p>
        </w:tc>
        <w:tc>
          <w:tcPr>
            <w:tcW w:w="7739" w:type="dxa"/>
            <w:tcBorders>
              <w:top w:val="nil"/>
            </w:tcBorders>
          </w:tcPr>
          <w:p w14:paraId="5EF02388" w14:textId="77777777" w:rsidR="00CF6E95" w:rsidRPr="00C801C8" w:rsidRDefault="00CF6E95" w:rsidP="00AB2430">
            <w:pPr>
              <w:pStyle w:val="ListParagraph"/>
              <w:numPr>
                <w:ilvl w:val="0"/>
                <w:numId w:val="1"/>
              </w:numPr>
              <w:ind w:left="293" w:right="-300" w:hanging="259"/>
              <w:rPr>
                <w:sz w:val="24"/>
                <w:szCs w:val="24"/>
              </w:rPr>
            </w:pPr>
            <w:r w:rsidRPr="0045648D">
              <w:rPr>
                <w:sz w:val="24"/>
                <w:szCs w:val="24"/>
              </w:rPr>
              <w:t>A</w:t>
            </w:r>
            <w:r>
              <w:rPr>
                <w:sz w:val="24"/>
                <w:szCs w:val="24"/>
              </w:rPr>
              <w:t>ll HIV testing and STI indicators relating to</w:t>
            </w:r>
            <w:r w:rsidRPr="0045648D">
              <w:rPr>
                <w:sz w:val="24"/>
                <w:szCs w:val="24"/>
              </w:rPr>
              <w:t xml:space="preserve"> GUMCADv2 </w:t>
            </w:r>
            <w:r>
              <w:rPr>
                <w:sz w:val="24"/>
                <w:szCs w:val="24"/>
              </w:rPr>
              <w:t xml:space="preserve">and CTAD </w:t>
            </w:r>
            <w:r w:rsidRPr="0045648D">
              <w:rPr>
                <w:sz w:val="24"/>
                <w:szCs w:val="24"/>
              </w:rPr>
              <w:t xml:space="preserve">data </w:t>
            </w:r>
            <w:r>
              <w:rPr>
                <w:sz w:val="24"/>
                <w:szCs w:val="24"/>
              </w:rPr>
              <w:t>to be updated – to include revision of previously published data and new data point for the calendar year 2014</w:t>
            </w:r>
          </w:p>
          <w:p w14:paraId="3D8FF2D8" w14:textId="77777777" w:rsidR="00CF6E95" w:rsidRDefault="00CF6E95" w:rsidP="00AB2430">
            <w:pPr>
              <w:pStyle w:val="ListParagraph"/>
              <w:numPr>
                <w:ilvl w:val="0"/>
                <w:numId w:val="1"/>
              </w:numPr>
              <w:ind w:left="293" w:right="-300" w:hanging="259"/>
              <w:rPr>
                <w:sz w:val="24"/>
                <w:szCs w:val="24"/>
              </w:rPr>
            </w:pPr>
            <w:r>
              <w:rPr>
                <w:sz w:val="24"/>
                <w:szCs w:val="24"/>
              </w:rPr>
              <w:t>New additions to the tool:</w:t>
            </w:r>
          </w:p>
          <w:p w14:paraId="56642B86" w14:textId="77777777" w:rsidR="00CF6E95" w:rsidRDefault="00CF6E95" w:rsidP="00AB2430">
            <w:pPr>
              <w:pStyle w:val="ListParagraph"/>
              <w:numPr>
                <w:ilvl w:val="1"/>
                <w:numId w:val="1"/>
              </w:numPr>
              <w:ind w:right="-300"/>
              <w:rPr>
                <w:sz w:val="24"/>
                <w:szCs w:val="24"/>
              </w:rPr>
            </w:pPr>
            <w:r>
              <w:rPr>
                <w:sz w:val="24"/>
                <w:szCs w:val="24"/>
              </w:rPr>
              <w:t>Chlamydia diagnostic rate (all ages), 2012 to 2014</w:t>
            </w:r>
          </w:p>
          <w:p w14:paraId="5BE69276" w14:textId="77777777" w:rsidR="00CF6E95" w:rsidRDefault="00CF6E95" w:rsidP="00AB2430">
            <w:pPr>
              <w:pStyle w:val="ListParagraph"/>
              <w:numPr>
                <w:ilvl w:val="1"/>
                <w:numId w:val="1"/>
              </w:numPr>
              <w:ind w:right="-300"/>
              <w:rPr>
                <w:sz w:val="24"/>
                <w:szCs w:val="24"/>
              </w:rPr>
            </w:pPr>
            <w:r>
              <w:rPr>
                <w:sz w:val="24"/>
                <w:szCs w:val="24"/>
              </w:rPr>
              <w:t>Chlamydia diagnostic rate (25+), 2012 to 2014</w:t>
            </w:r>
          </w:p>
          <w:p w14:paraId="378DB074" w14:textId="77777777" w:rsidR="00CF6E95" w:rsidRDefault="00CF6E95" w:rsidP="00AB2430">
            <w:pPr>
              <w:pStyle w:val="ListParagraph"/>
              <w:numPr>
                <w:ilvl w:val="1"/>
                <w:numId w:val="1"/>
              </w:numPr>
              <w:ind w:right="-300"/>
              <w:rPr>
                <w:sz w:val="24"/>
                <w:szCs w:val="24"/>
              </w:rPr>
            </w:pPr>
            <w:r>
              <w:rPr>
                <w:sz w:val="24"/>
                <w:szCs w:val="24"/>
              </w:rPr>
              <w:t>New STI diagnoses rate, 2012 to</w:t>
            </w:r>
            <w:r w:rsidRPr="00CE2418">
              <w:rPr>
                <w:sz w:val="24"/>
                <w:szCs w:val="24"/>
              </w:rPr>
              <w:t xml:space="preserve"> 2014 </w:t>
            </w:r>
            <w:r>
              <w:rPr>
                <w:sz w:val="24"/>
                <w:szCs w:val="24"/>
              </w:rPr>
              <w:t xml:space="preserve"> </w:t>
            </w:r>
          </w:p>
          <w:p w14:paraId="51B72815" w14:textId="77777777" w:rsidR="00CF6E95" w:rsidRDefault="00CF6E95" w:rsidP="00AB2430">
            <w:pPr>
              <w:pStyle w:val="ListParagraph"/>
              <w:numPr>
                <w:ilvl w:val="1"/>
                <w:numId w:val="1"/>
              </w:numPr>
              <w:ind w:right="-300"/>
              <w:rPr>
                <w:sz w:val="24"/>
                <w:szCs w:val="24"/>
              </w:rPr>
            </w:pPr>
            <w:r>
              <w:rPr>
                <w:sz w:val="24"/>
                <w:szCs w:val="24"/>
              </w:rPr>
              <w:lastRenderedPageBreak/>
              <w:t>HIV test uptake (total), 2009 to 2014</w:t>
            </w:r>
          </w:p>
          <w:p w14:paraId="7A899494" w14:textId="77777777" w:rsidR="00CF6E95" w:rsidRPr="00BB316F" w:rsidRDefault="00CF6E95" w:rsidP="00AB2430">
            <w:pPr>
              <w:pStyle w:val="ListParagraph"/>
              <w:numPr>
                <w:ilvl w:val="1"/>
                <w:numId w:val="1"/>
              </w:numPr>
              <w:ind w:right="-300"/>
              <w:rPr>
                <w:sz w:val="24"/>
                <w:szCs w:val="24"/>
              </w:rPr>
            </w:pPr>
            <w:r>
              <w:rPr>
                <w:sz w:val="24"/>
                <w:szCs w:val="24"/>
              </w:rPr>
              <w:t>HIV test coverage (total), 2009 to 2014</w:t>
            </w:r>
          </w:p>
          <w:p w14:paraId="0B15E1A3" w14:textId="77777777" w:rsidR="00CF6E95" w:rsidRPr="0026397F" w:rsidRDefault="00CF6E95" w:rsidP="00AB2430">
            <w:pPr>
              <w:pStyle w:val="ListParagraph"/>
              <w:numPr>
                <w:ilvl w:val="0"/>
                <w:numId w:val="12"/>
              </w:numPr>
              <w:ind w:right="-300"/>
              <w:rPr>
                <w:sz w:val="24"/>
                <w:szCs w:val="24"/>
              </w:rPr>
            </w:pPr>
            <w:r>
              <w:rPr>
                <w:sz w:val="24"/>
                <w:szCs w:val="24"/>
              </w:rPr>
              <w:t>New ‘PHE Centres (2015)’ area type available for latest updates. (‘PHE Centres (2013’) to be retained until all indicators are updated).</w:t>
            </w:r>
          </w:p>
        </w:tc>
      </w:tr>
      <w:tr w:rsidR="00CF6E95" w:rsidRPr="007F392D" w14:paraId="5AEE8BED" w14:textId="77777777" w:rsidTr="0020488A">
        <w:tc>
          <w:tcPr>
            <w:tcW w:w="2184" w:type="dxa"/>
            <w:tcBorders>
              <w:bottom w:val="nil"/>
            </w:tcBorders>
            <w:shd w:val="clear" w:color="auto" w:fill="F2F2F2" w:themeFill="background1" w:themeFillShade="F2"/>
          </w:tcPr>
          <w:p w14:paraId="35C8544D" w14:textId="77777777" w:rsidR="00CF6E95" w:rsidRPr="007F392D" w:rsidRDefault="00CF6E95" w:rsidP="00AB2430">
            <w:pPr>
              <w:ind w:right="-300"/>
              <w:rPr>
                <w:i/>
                <w:sz w:val="28"/>
                <w:szCs w:val="28"/>
              </w:rPr>
            </w:pPr>
            <w:r w:rsidRPr="007F392D">
              <w:rPr>
                <w:i/>
                <w:sz w:val="28"/>
                <w:szCs w:val="28"/>
              </w:rPr>
              <w:lastRenderedPageBreak/>
              <w:t>August</w:t>
            </w:r>
          </w:p>
        </w:tc>
        <w:tc>
          <w:tcPr>
            <w:tcW w:w="7739" w:type="dxa"/>
            <w:tcBorders>
              <w:bottom w:val="nil"/>
            </w:tcBorders>
            <w:shd w:val="clear" w:color="auto" w:fill="F2F2F2" w:themeFill="background1" w:themeFillShade="F2"/>
          </w:tcPr>
          <w:p w14:paraId="6156D321" w14:textId="77777777" w:rsidR="00CF6E95" w:rsidRPr="007F392D" w:rsidRDefault="00CF6E95" w:rsidP="00AB2430">
            <w:pPr>
              <w:ind w:right="-300"/>
              <w:rPr>
                <w:i/>
                <w:sz w:val="28"/>
                <w:szCs w:val="28"/>
              </w:rPr>
            </w:pPr>
          </w:p>
        </w:tc>
      </w:tr>
      <w:tr w:rsidR="00CF6E95" w:rsidRPr="00B129D3" w14:paraId="7C724E08" w14:textId="77777777" w:rsidTr="0020488A">
        <w:tc>
          <w:tcPr>
            <w:tcW w:w="2184" w:type="dxa"/>
            <w:tcBorders>
              <w:top w:val="nil"/>
            </w:tcBorders>
          </w:tcPr>
          <w:p w14:paraId="0C7AF55E" w14:textId="77777777" w:rsidR="00CF6E95" w:rsidRPr="00DB583C" w:rsidRDefault="00CF6E95" w:rsidP="00AB2430">
            <w:pPr>
              <w:ind w:right="-300"/>
              <w:rPr>
                <w:sz w:val="28"/>
                <w:szCs w:val="28"/>
              </w:rPr>
            </w:pPr>
          </w:p>
        </w:tc>
        <w:tc>
          <w:tcPr>
            <w:tcW w:w="7739" w:type="dxa"/>
            <w:tcBorders>
              <w:top w:val="nil"/>
            </w:tcBorders>
          </w:tcPr>
          <w:p w14:paraId="6423CAB2" w14:textId="77777777" w:rsidR="00CF6E95" w:rsidRPr="00641179" w:rsidRDefault="00CF6E95" w:rsidP="00AB2430">
            <w:pPr>
              <w:pStyle w:val="ListParagraph"/>
              <w:numPr>
                <w:ilvl w:val="0"/>
                <w:numId w:val="5"/>
              </w:numPr>
              <w:ind w:right="-300"/>
              <w:rPr>
                <w:sz w:val="24"/>
                <w:szCs w:val="24"/>
              </w:rPr>
            </w:pPr>
            <w:r w:rsidRPr="00641179">
              <w:rPr>
                <w:sz w:val="24"/>
                <w:szCs w:val="24"/>
              </w:rPr>
              <w:t>Abortion indicators update for 2014</w:t>
            </w:r>
          </w:p>
          <w:p w14:paraId="4C240DAB" w14:textId="77777777" w:rsidR="00CF6E95" w:rsidRPr="00641179" w:rsidRDefault="00CF6E95" w:rsidP="00AB2430">
            <w:pPr>
              <w:pStyle w:val="ListParagraph"/>
              <w:numPr>
                <w:ilvl w:val="0"/>
                <w:numId w:val="5"/>
              </w:numPr>
              <w:ind w:right="-300"/>
              <w:contextualSpacing w:val="0"/>
              <w:rPr>
                <w:sz w:val="24"/>
                <w:szCs w:val="24"/>
              </w:rPr>
            </w:pPr>
            <w:r w:rsidRPr="00641179">
              <w:rPr>
                <w:sz w:val="24"/>
                <w:szCs w:val="24"/>
              </w:rPr>
              <w:t xml:space="preserve">Percentage 16-18 not in education, </w:t>
            </w:r>
            <w:proofErr w:type="gramStart"/>
            <w:r w:rsidRPr="00641179">
              <w:rPr>
                <w:sz w:val="24"/>
                <w:szCs w:val="24"/>
              </w:rPr>
              <w:t>employment</w:t>
            </w:r>
            <w:proofErr w:type="gramEnd"/>
            <w:r w:rsidRPr="00641179">
              <w:rPr>
                <w:sz w:val="24"/>
                <w:szCs w:val="24"/>
              </w:rPr>
              <w:t xml:space="preserve"> or training (PHOF indicator 1.05) update for 2014</w:t>
            </w:r>
          </w:p>
          <w:p w14:paraId="1E2D2E64" w14:textId="77777777" w:rsidR="00CF6E95" w:rsidRPr="00641179" w:rsidRDefault="00CF6E95" w:rsidP="00AB2430">
            <w:pPr>
              <w:pStyle w:val="ListParagraph"/>
              <w:numPr>
                <w:ilvl w:val="0"/>
                <w:numId w:val="5"/>
              </w:numPr>
              <w:ind w:right="-300"/>
              <w:contextualSpacing w:val="0"/>
              <w:rPr>
                <w:sz w:val="24"/>
                <w:szCs w:val="24"/>
              </w:rPr>
            </w:pPr>
            <w:r w:rsidRPr="00641179">
              <w:rPr>
                <w:sz w:val="24"/>
                <w:szCs w:val="24"/>
              </w:rPr>
              <w:t>Percentage pupil absence (PHOF indicator 1.03) update for 2013/14</w:t>
            </w:r>
          </w:p>
          <w:p w14:paraId="465980EE" w14:textId="77777777" w:rsidR="00CF6E95" w:rsidRPr="00641179" w:rsidRDefault="00CF6E95" w:rsidP="00AB2430">
            <w:pPr>
              <w:pStyle w:val="ListParagraph"/>
              <w:numPr>
                <w:ilvl w:val="0"/>
                <w:numId w:val="5"/>
              </w:numPr>
              <w:ind w:right="-300"/>
              <w:contextualSpacing w:val="0"/>
              <w:rPr>
                <w:sz w:val="24"/>
                <w:szCs w:val="24"/>
              </w:rPr>
            </w:pPr>
            <w:r w:rsidRPr="00641179">
              <w:rPr>
                <w:sz w:val="24"/>
                <w:szCs w:val="24"/>
              </w:rPr>
              <w:t>First time entrants to the youth justice system rate (PHOF indicator 1.04) update for 2014</w:t>
            </w:r>
          </w:p>
          <w:p w14:paraId="72B3F2B0" w14:textId="77777777" w:rsidR="00CF6E95" w:rsidRPr="00B129D3" w:rsidRDefault="00CF6E95" w:rsidP="00AB2430">
            <w:pPr>
              <w:pStyle w:val="ListParagraph"/>
              <w:numPr>
                <w:ilvl w:val="0"/>
                <w:numId w:val="5"/>
              </w:numPr>
              <w:ind w:right="-300"/>
              <w:contextualSpacing w:val="0"/>
            </w:pPr>
            <w:r>
              <w:rPr>
                <w:sz w:val="24"/>
                <w:szCs w:val="24"/>
              </w:rPr>
              <w:t>The website now remembers you</w:t>
            </w:r>
            <w:r w:rsidRPr="00641179">
              <w:rPr>
                <w:sz w:val="24"/>
                <w:szCs w:val="24"/>
              </w:rPr>
              <w:t xml:space="preserve">r geography </w:t>
            </w:r>
            <w:proofErr w:type="gramStart"/>
            <w:r w:rsidRPr="00641179">
              <w:rPr>
                <w:sz w:val="24"/>
                <w:szCs w:val="24"/>
              </w:rPr>
              <w:t>choices  for</w:t>
            </w:r>
            <w:proofErr w:type="gramEnd"/>
            <w:r w:rsidRPr="00641179">
              <w:rPr>
                <w:sz w:val="24"/>
                <w:szCs w:val="24"/>
              </w:rPr>
              <w:t xml:space="preserve"> your next visit</w:t>
            </w:r>
          </w:p>
        </w:tc>
      </w:tr>
      <w:tr w:rsidR="00CF6E95" w:rsidRPr="007F392D" w14:paraId="73CA629B" w14:textId="77777777" w:rsidTr="0020488A">
        <w:tc>
          <w:tcPr>
            <w:tcW w:w="2184" w:type="dxa"/>
            <w:tcBorders>
              <w:bottom w:val="nil"/>
            </w:tcBorders>
            <w:shd w:val="clear" w:color="auto" w:fill="F2F2F2" w:themeFill="background1" w:themeFillShade="F2"/>
          </w:tcPr>
          <w:p w14:paraId="4828921A" w14:textId="77777777" w:rsidR="00CF6E95" w:rsidRPr="007F392D" w:rsidRDefault="00CF6E95" w:rsidP="00AB2430">
            <w:pPr>
              <w:ind w:right="-300"/>
              <w:rPr>
                <w:i/>
                <w:sz w:val="28"/>
                <w:szCs w:val="28"/>
              </w:rPr>
            </w:pPr>
            <w:r>
              <w:rPr>
                <w:i/>
                <w:sz w:val="28"/>
                <w:szCs w:val="28"/>
              </w:rPr>
              <w:t>November</w:t>
            </w:r>
          </w:p>
        </w:tc>
        <w:tc>
          <w:tcPr>
            <w:tcW w:w="7739" w:type="dxa"/>
            <w:tcBorders>
              <w:bottom w:val="nil"/>
            </w:tcBorders>
            <w:shd w:val="clear" w:color="auto" w:fill="F2F2F2" w:themeFill="background1" w:themeFillShade="F2"/>
          </w:tcPr>
          <w:p w14:paraId="5779B966" w14:textId="77777777" w:rsidR="00CF6E95" w:rsidRPr="007F392D" w:rsidRDefault="00CF6E95" w:rsidP="00AB2430">
            <w:pPr>
              <w:ind w:right="-300"/>
              <w:rPr>
                <w:i/>
                <w:sz w:val="28"/>
                <w:szCs w:val="28"/>
              </w:rPr>
            </w:pPr>
          </w:p>
        </w:tc>
      </w:tr>
      <w:tr w:rsidR="00CF6E95" w:rsidRPr="00851E3D" w14:paraId="18F23B3F" w14:textId="77777777" w:rsidTr="0020488A">
        <w:tc>
          <w:tcPr>
            <w:tcW w:w="2184" w:type="dxa"/>
            <w:tcBorders>
              <w:top w:val="nil"/>
              <w:bottom w:val="single" w:sz="4" w:space="0" w:color="auto"/>
            </w:tcBorders>
          </w:tcPr>
          <w:p w14:paraId="3635CB5F" w14:textId="77777777" w:rsidR="00CF6E95" w:rsidRDefault="00CF6E95" w:rsidP="00AB2430">
            <w:pPr>
              <w:ind w:right="-300"/>
              <w:rPr>
                <w:sz w:val="28"/>
                <w:szCs w:val="28"/>
              </w:rPr>
            </w:pPr>
          </w:p>
          <w:p w14:paraId="48C7C71D" w14:textId="77777777" w:rsidR="00CF6E95" w:rsidRDefault="00CF6E95" w:rsidP="00AB2430">
            <w:pPr>
              <w:ind w:right="-300"/>
              <w:rPr>
                <w:sz w:val="28"/>
                <w:szCs w:val="28"/>
              </w:rPr>
            </w:pPr>
          </w:p>
          <w:p w14:paraId="332E87F1" w14:textId="77777777" w:rsidR="00CF6E95" w:rsidRDefault="00CF6E95" w:rsidP="00AB2430">
            <w:pPr>
              <w:ind w:right="-300"/>
              <w:rPr>
                <w:sz w:val="28"/>
                <w:szCs w:val="28"/>
              </w:rPr>
            </w:pPr>
          </w:p>
          <w:p w14:paraId="1B21EB51" w14:textId="77777777" w:rsidR="00CF6E95" w:rsidRDefault="00CF6E95" w:rsidP="00AB2430">
            <w:pPr>
              <w:ind w:right="-300"/>
              <w:rPr>
                <w:sz w:val="28"/>
                <w:szCs w:val="28"/>
              </w:rPr>
            </w:pPr>
          </w:p>
          <w:p w14:paraId="7F4D2FD4" w14:textId="77777777" w:rsidR="00CF6E95" w:rsidRDefault="00CF6E95" w:rsidP="00AB2430">
            <w:pPr>
              <w:ind w:right="-300"/>
              <w:rPr>
                <w:sz w:val="28"/>
                <w:szCs w:val="28"/>
              </w:rPr>
            </w:pPr>
          </w:p>
          <w:p w14:paraId="4F30DB11" w14:textId="77777777" w:rsidR="00CF6E95" w:rsidRDefault="00CF6E95" w:rsidP="00AB2430">
            <w:pPr>
              <w:ind w:right="-300"/>
              <w:rPr>
                <w:sz w:val="28"/>
                <w:szCs w:val="28"/>
              </w:rPr>
            </w:pPr>
          </w:p>
          <w:p w14:paraId="2050E92E" w14:textId="77777777" w:rsidR="00CF6E95" w:rsidRDefault="00CF6E95" w:rsidP="00AB2430">
            <w:pPr>
              <w:ind w:right="-300"/>
              <w:rPr>
                <w:sz w:val="28"/>
                <w:szCs w:val="28"/>
              </w:rPr>
            </w:pPr>
          </w:p>
          <w:p w14:paraId="5B0E408F" w14:textId="77777777" w:rsidR="00CF6E95" w:rsidRDefault="00CF6E95" w:rsidP="00AB2430">
            <w:pPr>
              <w:ind w:right="-300"/>
              <w:rPr>
                <w:sz w:val="28"/>
                <w:szCs w:val="28"/>
              </w:rPr>
            </w:pPr>
          </w:p>
          <w:p w14:paraId="4CCF864A" w14:textId="77777777" w:rsidR="00CF6E95" w:rsidRDefault="00CF6E95" w:rsidP="00AB2430">
            <w:pPr>
              <w:ind w:right="-300"/>
              <w:rPr>
                <w:sz w:val="28"/>
                <w:szCs w:val="28"/>
              </w:rPr>
            </w:pPr>
          </w:p>
          <w:p w14:paraId="505FA4A4" w14:textId="77777777" w:rsidR="00CF6E95" w:rsidRDefault="00CF6E95" w:rsidP="00AB2430">
            <w:pPr>
              <w:ind w:right="-300"/>
              <w:rPr>
                <w:sz w:val="28"/>
                <w:szCs w:val="28"/>
              </w:rPr>
            </w:pPr>
          </w:p>
          <w:p w14:paraId="003C06AB" w14:textId="77777777" w:rsidR="00CF6E95" w:rsidRDefault="00CF6E95" w:rsidP="00AB2430">
            <w:pPr>
              <w:ind w:right="-300"/>
              <w:rPr>
                <w:sz w:val="28"/>
                <w:szCs w:val="28"/>
              </w:rPr>
            </w:pPr>
          </w:p>
          <w:p w14:paraId="19D86E7E" w14:textId="77777777" w:rsidR="00CF6E95" w:rsidRDefault="00CF6E95" w:rsidP="00AB2430">
            <w:pPr>
              <w:ind w:right="-300"/>
              <w:rPr>
                <w:sz w:val="28"/>
                <w:szCs w:val="28"/>
              </w:rPr>
            </w:pPr>
          </w:p>
          <w:p w14:paraId="1F139D3C" w14:textId="77777777" w:rsidR="00CF6E95" w:rsidRDefault="00CF6E95" w:rsidP="00AB2430">
            <w:pPr>
              <w:ind w:right="-300"/>
              <w:rPr>
                <w:sz w:val="28"/>
                <w:szCs w:val="28"/>
              </w:rPr>
            </w:pPr>
          </w:p>
          <w:p w14:paraId="4E83D740" w14:textId="77777777" w:rsidR="00CF6E95" w:rsidRPr="00DB583C" w:rsidRDefault="00CF6E95" w:rsidP="00AB2430">
            <w:pPr>
              <w:ind w:right="-300"/>
              <w:rPr>
                <w:sz w:val="28"/>
                <w:szCs w:val="28"/>
              </w:rPr>
            </w:pPr>
          </w:p>
        </w:tc>
        <w:tc>
          <w:tcPr>
            <w:tcW w:w="7739" w:type="dxa"/>
            <w:tcBorders>
              <w:top w:val="nil"/>
              <w:bottom w:val="single" w:sz="4" w:space="0" w:color="auto"/>
            </w:tcBorders>
          </w:tcPr>
          <w:p w14:paraId="32E5971B" w14:textId="77777777" w:rsidR="00CF6E95" w:rsidRPr="0045648D" w:rsidRDefault="00CF6E95" w:rsidP="00AB2430">
            <w:pPr>
              <w:pStyle w:val="ListParagraph"/>
              <w:numPr>
                <w:ilvl w:val="0"/>
                <w:numId w:val="1"/>
              </w:numPr>
              <w:ind w:left="293" w:right="-300" w:hanging="259"/>
              <w:rPr>
                <w:sz w:val="24"/>
                <w:szCs w:val="24"/>
              </w:rPr>
            </w:pPr>
            <w:r w:rsidRPr="0045648D">
              <w:rPr>
                <w:sz w:val="24"/>
                <w:szCs w:val="24"/>
              </w:rPr>
              <w:t>People presenting with HIV at a late stage of i</w:t>
            </w:r>
            <w:r>
              <w:rPr>
                <w:sz w:val="24"/>
                <w:szCs w:val="24"/>
              </w:rPr>
              <w:t xml:space="preserve">nfection: update to include </w:t>
            </w:r>
            <w:r w:rsidRPr="008247CF">
              <w:rPr>
                <w:sz w:val="24"/>
                <w:szCs w:val="24"/>
              </w:rPr>
              <w:t>revision of previously published data and new data point for the calendar year 2014</w:t>
            </w:r>
            <w:r>
              <w:rPr>
                <w:sz w:val="24"/>
                <w:szCs w:val="24"/>
              </w:rPr>
              <w:t xml:space="preserve"> (shown as years 2012, 2013 &amp; 2014</w:t>
            </w:r>
            <w:r w:rsidRPr="0045648D">
              <w:rPr>
                <w:sz w:val="24"/>
                <w:szCs w:val="24"/>
              </w:rPr>
              <w:t xml:space="preserve"> combined).</w:t>
            </w:r>
          </w:p>
          <w:p w14:paraId="2CE2AD05" w14:textId="77777777" w:rsidR="00CF6E95" w:rsidRDefault="00CF6E95" w:rsidP="00AB2430">
            <w:pPr>
              <w:pStyle w:val="ListParagraph"/>
              <w:numPr>
                <w:ilvl w:val="0"/>
                <w:numId w:val="1"/>
              </w:numPr>
              <w:ind w:left="293" w:right="-300" w:hanging="259"/>
              <w:rPr>
                <w:sz w:val="24"/>
                <w:szCs w:val="24"/>
              </w:rPr>
            </w:pPr>
            <w:r w:rsidRPr="0045648D">
              <w:rPr>
                <w:sz w:val="24"/>
                <w:szCs w:val="24"/>
              </w:rPr>
              <w:t>Prevalence of diagnosed HIV infection</w:t>
            </w:r>
            <w:r>
              <w:rPr>
                <w:sz w:val="24"/>
                <w:szCs w:val="24"/>
              </w:rPr>
              <w:t xml:space="preserve"> per </w:t>
            </w:r>
            <w:r w:rsidRPr="0045648D">
              <w:rPr>
                <w:sz w:val="24"/>
                <w:szCs w:val="24"/>
              </w:rPr>
              <w:t>1</w:t>
            </w:r>
            <w:r>
              <w:rPr>
                <w:sz w:val="24"/>
                <w:szCs w:val="24"/>
              </w:rPr>
              <w:t>,</w:t>
            </w:r>
            <w:r w:rsidRPr="0045648D">
              <w:rPr>
                <w:sz w:val="24"/>
                <w:szCs w:val="24"/>
              </w:rPr>
              <w:t>000 persons aged 15-59 years</w:t>
            </w:r>
            <w:r>
              <w:rPr>
                <w:sz w:val="24"/>
                <w:szCs w:val="24"/>
              </w:rPr>
              <w:t xml:space="preserve">: update </w:t>
            </w:r>
            <w:r w:rsidRPr="008247CF">
              <w:rPr>
                <w:sz w:val="24"/>
                <w:szCs w:val="24"/>
              </w:rPr>
              <w:t>to include revision of previously published data and new data point for the calendar year 2014</w:t>
            </w:r>
            <w:r w:rsidRPr="0045648D">
              <w:rPr>
                <w:sz w:val="24"/>
                <w:szCs w:val="24"/>
              </w:rPr>
              <w:t>.</w:t>
            </w:r>
          </w:p>
          <w:p w14:paraId="0F1453DD" w14:textId="77777777" w:rsidR="00CF6E95" w:rsidRDefault="00CF6E95" w:rsidP="00AB2430">
            <w:pPr>
              <w:pStyle w:val="ListParagraph"/>
              <w:numPr>
                <w:ilvl w:val="0"/>
                <w:numId w:val="1"/>
              </w:numPr>
              <w:ind w:left="293" w:right="-300" w:hanging="259"/>
              <w:rPr>
                <w:sz w:val="24"/>
                <w:szCs w:val="24"/>
              </w:rPr>
            </w:pPr>
            <w:r>
              <w:rPr>
                <w:sz w:val="24"/>
                <w:szCs w:val="24"/>
              </w:rPr>
              <w:t>New addition to the tool:  New HIV diagnosis rate, 2011 to 2014</w:t>
            </w:r>
          </w:p>
          <w:p w14:paraId="19E1FDDC" w14:textId="77777777" w:rsidR="00CF6E95" w:rsidRDefault="00CF6E95" w:rsidP="00AB2430">
            <w:pPr>
              <w:pStyle w:val="ListParagraph"/>
              <w:numPr>
                <w:ilvl w:val="0"/>
                <w:numId w:val="1"/>
              </w:numPr>
              <w:ind w:left="293" w:right="-300" w:hanging="259"/>
              <w:rPr>
                <w:sz w:val="24"/>
                <w:szCs w:val="24"/>
              </w:rPr>
            </w:pPr>
            <w:r w:rsidRPr="00F16E7F">
              <w:rPr>
                <w:sz w:val="24"/>
                <w:szCs w:val="24"/>
              </w:rPr>
              <w:t>Proportion of TB cases offered an HIV test</w:t>
            </w:r>
            <w:r>
              <w:rPr>
                <w:sz w:val="24"/>
                <w:szCs w:val="24"/>
              </w:rPr>
              <w:t xml:space="preserve"> </w:t>
            </w:r>
            <w:r w:rsidRPr="007905BE">
              <w:rPr>
                <w:sz w:val="24"/>
                <w:szCs w:val="24"/>
              </w:rPr>
              <w:t>(TB Strategy Monitoring Indicators)</w:t>
            </w:r>
            <w:r>
              <w:rPr>
                <w:sz w:val="24"/>
                <w:szCs w:val="24"/>
              </w:rPr>
              <w:t>, 2014</w:t>
            </w:r>
          </w:p>
          <w:p w14:paraId="0DD499B9" w14:textId="77777777" w:rsidR="00CF6E95" w:rsidRDefault="00CF6E95" w:rsidP="00AB2430">
            <w:pPr>
              <w:pStyle w:val="ListParagraph"/>
              <w:numPr>
                <w:ilvl w:val="0"/>
                <w:numId w:val="1"/>
              </w:numPr>
              <w:ind w:left="293" w:right="-300" w:hanging="259"/>
              <w:rPr>
                <w:sz w:val="24"/>
                <w:szCs w:val="24"/>
              </w:rPr>
            </w:pPr>
            <w:r>
              <w:rPr>
                <w:sz w:val="24"/>
                <w:szCs w:val="24"/>
              </w:rPr>
              <w:t>GP prescribed LARC updated and revised for years 2011 to 2014 and district level is also now included</w:t>
            </w:r>
          </w:p>
          <w:p w14:paraId="3019F58C" w14:textId="77777777" w:rsidR="00CF6E95" w:rsidRDefault="00CF6E95" w:rsidP="00AB2430">
            <w:pPr>
              <w:pStyle w:val="ListParagraph"/>
              <w:numPr>
                <w:ilvl w:val="0"/>
                <w:numId w:val="1"/>
              </w:numPr>
              <w:ind w:left="293" w:right="-300" w:hanging="259"/>
              <w:rPr>
                <w:sz w:val="24"/>
                <w:szCs w:val="24"/>
              </w:rPr>
            </w:pPr>
            <w:r>
              <w:rPr>
                <w:sz w:val="24"/>
                <w:szCs w:val="24"/>
              </w:rPr>
              <w:t>New addition to the tool: GP prescribed LARC excluding injections, 2011 to 2014</w:t>
            </w:r>
          </w:p>
          <w:p w14:paraId="6EEDBD32" w14:textId="77777777" w:rsidR="00CF6E95" w:rsidRDefault="00CF6E95" w:rsidP="00AB2430">
            <w:pPr>
              <w:pStyle w:val="ListParagraph"/>
              <w:numPr>
                <w:ilvl w:val="0"/>
                <w:numId w:val="1"/>
              </w:numPr>
              <w:ind w:left="293" w:right="-300" w:hanging="259"/>
              <w:rPr>
                <w:sz w:val="24"/>
                <w:szCs w:val="24"/>
              </w:rPr>
            </w:pPr>
            <w:r>
              <w:rPr>
                <w:sz w:val="24"/>
                <w:szCs w:val="24"/>
              </w:rPr>
              <w:t>Sexual offences rate updated to 2014/15</w:t>
            </w:r>
          </w:p>
          <w:p w14:paraId="31800FFD" w14:textId="77777777" w:rsidR="00CF6E95" w:rsidRPr="00851E3D" w:rsidRDefault="00CF6E95" w:rsidP="00AB2430">
            <w:pPr>
              <w:pStyle w:val="ListParagraph"/>
              <w:numPr>
                <w:ilvl w:val="0"/>
                <w:numId w:val="1"/>
              </w:numPr>
              <w:ind w:left="293" w:right="-300" w:hanging="259"/>
              <w:rPr>
                <w:sz w:val="24"/>
                <w:szCs w:val="24"/>
              </w:rPr>
            </w:pPr>
            <w:r>
              <w:rPr>
                <w:sz w:val="24"/>
                <w:szCs w:val="24"/>
              </w:rPr>
              <w:t xml:space="preserve">‘ONS 2011 Group’ update - a revision of the groupings enabling district and unitary authority comparisons with those of a similar geographical area type. For further information see: </w:t>
            </w:r>
            <w:hyperlink r:id="rId10" w:history="1">
              <w:r w:rsidRPr="000C264B">
                <w:rPr>
                  <w:rStyle w:val="Hyperlink"/>
                  <w:sz w:val="24"/>
                  <w:szCs w:val="24"/>
                </w:rPr>
                <w:t>here</w:t>
              </w:r>
            </w:hyperlink>
            <w:r>
              <w:rPr>
                <w:sz w:val="24"/>
                <w:szCs w:val="24"/>
              </w:rPr>
              <w:t xml:space="preserve"> </w:t>
            </w:r>
          </w:p>
        </w:tc>
      </w:tr>
      <w:tr w:rsidR="00CF6E95" w:rsidRPr="0045648D" w14:paraId="73D11983" w14:textId="77777777" w:rsidTr="0020488A">
        <w:tc>
          <w:tcPr>
            <w:tcW w:w="2184" w:type="dxa"/>
            <w:tcBorders>
              <w:top w:val="single" w:sz="4" w:space="0" w:color="auto"/>
              <w:bottom w:val="nil"/>
            </w:tcBorders>
            <w:shd w:val="clear" w:color="auto" w:fill="F2F2F2" w:themeFill="background1" w:themeFillShade="F2"/>
          </w:tcPr>
          <w:p w14:paraId="1FD7ADAA" w14:textId="77777777" w:rsidR="00CF6E95" w:rsidRDefault="00CF6E95" w:rsidP="00AB2430">
            <w:pPr>
              <w:ind w:right="-300"/>
              <w:rPr>
                <w:sz w:val="28"/>
                <w:szCs w:val="28"/>
              </w:rPr>
            </w:pPr>
            <w:r>
              <w:rPr>
                <w:i/>
                <w:sz w:val="28"/>
                <w:szCs w:val="28"/>
              </w:rPr>
              <w:t>December</w:t>
            </w:r>
          </w:p>
        </w:tc>
        <w:tc>
          <w:tcPr>
            <w:tcW w:w="7739" w:type="dxa"/>
            <w:tcBorders>
              <w:top w:val="single" w:sz="4" w:space="0" w:color="auto"/>
              <w:bottom w:val="nil"/>
            </w:tcBorders>
            <w:shd w:val="clear" w:color="auto" w:fill="F2F2F2" w:themeFill="background1" w:themeFillShade="F2"/>
          </w:tcPr>
          <w:p w14:paraId="302E1B11" w14:textId="77777777" w:rsidR="00CF6E95" w:rsidRPr="0045648D" w:rsidRDefault="00CF6E95" w:rsidP="00AB2430">
            <w:pPr>
              <w:pStyle w:val="ListParagraph"/>
              <w:ind w:left="293" w:right="-300"/>
              <w:rPr>
                <w:sz w:val="24"/>
                <w:szCs w:val="24"/>
              </w:rPr>
            </w:pPr>
          </w:p>
        </w:tc>
      </w:tr>
      <w:tr w:rsidR="00CF6E95" w:rsidRPr="004A2B5C" w14:paraId="32964A23" w14:textId="77777777" w:rsidTr="0020488A">
        <w:tc>
          <w:tcPr>
            <w:tcW w:w="2184" w:type="dxa"/>
            <w:tcBorders>
              <w:top w:val="nil"/>
            </w:tcBorders>
          </w:tcPr>
          <w:p w14:paraId="37CCBB97" w14:textId="77777777" w:rsidR="00CF6E95" w:rsidRDefault="00CF6E95" w:rsidP="00AB2430">
            <w:pPr>
              <w:ind w:right="-300"/>
              <w:rPr>
                <w:sz w:val="28"/>
                <w:szCs w:val="28"/>
              </w:rPr>
            </w:pPr>
          </w:p>
        </w:tc>
        <w:tc>
          <w:tcPr>
            <w:tcW w:w="7739" w:type="dxa"/>
            <w:tcBorders>
              <w:top w:val="nil"/>
            </w:tcBorders>
          </w:tcPr>
          <w:p w14:paraId="44455337" w14:textId="77777777" w:rsidR="00CF6E95" w:rsidRPr="004A2B5C" w:rsidRDefault="00CF6E95" w:rsidP="00AB2430">
            <w:pPr>
              <w:pStyle w:val="ListParagraph"/>
              <w:numPr>
                <w:ilvl w:val="0"/>
                <w:numId w:val="1"/>
              </w:numPr>
              <w:ind w:left="293" w:right="-300" w:hanging="259"/>
              <w:rPr>
                <w:sz w:val="24"/>
                <w:szCs w:val="24"/>
              </w:rPr>
            </w:pPr>
            <w:r>
              <w:rPr>
                <w:sz w:val="24"/>
                <w:szCs w:val="24"/>
              </w:rPr>
              <w:t xml:space="preserve">New ‘CIPFA nearest neighbours’ option to compare your local authority with the 15 most similar </w:t>
            </w:r>
            <w:proofErr w:type="gramStart"/>
            <w:r>
              <w:rPr>
                <w:sz w:val="24"/>
                <w:szCs w:val="24"/>
              </w:rPr>
              <w:t>authorities  -</w:t>
            </w:r>
            <w:proofErr w:type="gramEnd"/>
            <w:r>
              <w:rPr>
                <w:sz w:val="24"/>
                <w:szCs w:val="24"/>
              </w:rPr>
              <w:t xml:space="preserve"> numbered 1 to 15, with 1 being most similar - based on a combination of several socio-economic variables. Click on the tool’s ‘More information’ link for further details. </w:t>
            </w:r>
          </w:p>
        </w:tc>
      </w:tr>
    </w:tbl>
    <w:p w14:paraId="4AA6DC6F" w14:textId="77777777" w:rsidR="00EF145F" w:rsidRPr="008C7B8F" w:rsidRDefault="00EF145F" w:rsidP="00EF145F">
      <w:pPr>
        <w:spacing w:after="0"/>
        <w:rPr>
          <w:sz w:val="16"/>
          <w:szCs w:val="16"/>
        </w:rPr>
      </w:pPr>
    </w:p>
    <w:tbl>
      <w:tblPr>
        <w:tblStyle w:val="TableGrid"/>
        <w:tblW w:w="9923" w:type="dxa"/>
        <w:tblBorders>
          <w:left w:val="none" w:sz="0" w:space="0" w:color="auto"/>
          <w:right w:val="none" w:sz="0" w:space="0" w:color="auto"/>
        </w:tblBorders>
        <w:tblLook w:val="04A0" w:firstRow="1" w:lastRow="0" w:firstColumn="1" w:lastColumn="0" w:noHBand="0" w:noVBand="1"/>
      </w:tblPr>
      <w:tblGrid>
        <w:gridCol w:w="2184"/>
        <w:gridCol w:w="7739"/>
      </w:tblGrid>
      <w:tr w:rsidR="00EF145F" w:rsidRPr="007F392D" w14:paraId="3C631EF0" w14:textId="77777777" w:rsidTr="0020488A">
        <w:tc>
          <w:tcPr>
            <w:tcW w:w="2184" w:type="dxa"/>
            <w:tcBorders>
              <w:bottom w:val="single" w:sz="4" w:space="0" w:color="auto"/>
            </w:tcBorders>
            <w:shd w:val="clear" w:color="auto" w:fill="92CDDC" w:themeFill="accent5" w:themeFillTint="99"/>
          </w:tcPr>
          <w:p w14:paraId="7E635F3E" w14:textId="77777777" w:rsidR="00EF145F" w:rsidRPr="007F392D" w:rsidRDefault="00EF145F" w:rsidP="000A40A0">
            <w:pPr>
              <w:rPr>
                <w:b/>
                <w:sz w:val="28"/>
                <w:szCs w:val="28"/>
              </w:rPr>
            </w:pPr>
            <w:r w:rsidRPr="007F392D">
              <w:rPr>
                <w:b/>
                <w:sz w:val="28"/>
                <w:szCs w:val="28"/>
              </w:rPr>
              <w:t>2014</w:t>
            </w:r>
          </w:p>
        </w:tc>
        <w:tc>
          <w:tcPr>
            <w:tcW w:w="7739" w:type="dxa"/>
            <w:tcBorders>
              <w:bottom w:val="single" w:sz="4" w:space="0" w:color="auto"/>
            </w:tcBorders>
            <w:shd w:val="clear" w:color="auto" w:fill="92CDDC" w:themeFill="accent5" w:themeFillTint="99"/>
          </w:tcPr>
          <w:p w14:paraId="4549D452" w14:textId="77777777" w:rsidR="00EF145F" w:rsidRPr="007F392D" w:rsidRDefault="00EF145F" w:rsidP="000A40A0">
            <w:pPr>
              <w:rPr>
                <w:b/>
                <w:sz w:val="28"/>
                <w:szCs w:val="28"/>
              </w:rPr>
            </w:pPr>
            <w:r>
              <w:rPr>
                <w:b/>
                <w:sz w:val="28"/>
                <w:szCs w:val="28"/>
              </w:rPr>
              <w:t>Updates</w:t>
            </w:r>
          </w:p>
        </w:tc>
      </w:tr>
      <w:tr w:rsidR="00EF145F" w:rsidRPr="007F392D" w14:paraId="3231723A" w14:textId="77777777" w:rsidTr="0020488A">
        <w:tc>
          <w:tcPr>
            <w:tcW w:w="2184" w:type="dxa"/>
            <w:tcBorders>
              <w:bottom w:val="nil"/>
            </w:tcBorders>
            <w:shd w:val="clear" w:color="auto" w:fill="F2F2F2" w:themeFill="background1" w:themeFillShade="F2"/>
          </w:tcPr>
          <w:p w14:paraId="41A6AC2A" w14:textId="77777777" w:rsidR="00EF145F" w:rsidRPr="007F392D" w:rsidRDefault="00EF145F" w:rsidP="000A40A0">
            <w:pPr>
              <w:rPr>
                <w:i/>
                <w:sz w:val="28"/>
                <w:szCs w:val="28"/>
              </w:rPr>
            </w:pPr>
            <w:r w:rsidRPr="007F392D">
              <w:rPr>
                <w:i/>
                <w:sz w:val="28"/>
                <w:szCs w:val="28"/>
              </w:rPr>
              <w:t>April</w:t>
            </w:r>
          </w:p>
        </w:tc>
        <w:tc>
          <w:tcPr>
            <w:tcW w:w="7739" w:type="dxa"/>
            <w:tcBorders>
              <w:bottom w:val="nil"/>
            </w:tcBorders>
            <w:shd w:val="clear" w:color="auto" w:fill="F2F2F2" w:themeFill="background1" w:themeFillShade="F2"/>
          </w:tcPr>
          <w:p w14:paraId="32278BF8" w14:textId="77777777" w:rsidR="00EF145F" w:rsidRPr="00C61053" w:rsidRDefault="00EF145F" w:rsidP="000A40A0">
            <w:pPr>
              <w:rPr>
                <w:sz w:val="24"/>
                <w:szCs w:val="24"/>
              </w:rPr>
            </w:pPr>
          </w:p>
        </w:tc>
      </w:tr>
      <w:tr w:rsidR="00EF145F" w:rsidRPr="00DB583C" w14:paraId="3EF2A50D" w14:textId="77777777" w:rsidTr="0020488A">
        <w:tc>
          <w:tcPr>
            <w:tcW w:w="2184" w:type="dxa"/>
            <w:tcBorders>
              <w:top w:val="nil"/>
            </w:tcBorders>
          </w:tcPr>
          <w:p w14:paraId="2DF7D956" w14:textId="77777777" w:rsidR="00EF145F" w:rsidRPr="00DB583C" w:rsidRDefault="00EF145F" w:rsidP="000A40A0">
            <w:pPr>
              <w:rPr>
                <w:sz w:val="28"/>
                <w:szCs w:val="28"/>
              </w:rPr>
            </w:pPr>
          </w:p>
        </w:tc>
        <w:tc>
          <w:tcPr>
            <w:tcW w:w="7739" w:type="dxa"/>
            <w:tcBorders>
              <w:top w:val="nil"/>
            </w:tcBorders>
          </w:tcPr>
          <w:p w14:paraId="18598FE9" w14:textId="77777777" w:rsidR="00EF145F" w:rsidRPr="00C61053" w:rsidRDefault="00EF145F" w:rsidP="000A40A0">
            <w:pPr>
              <w:pStyle w:val="ListParagraph"/>
              <w:numPr>
                <w:ilvl w:val="0"/>
                <w:numId w:val="1"/>
              </w:numPr>
              <w:ind w:left="293" w:hanging="259"/>
              <w:rPr>
                <w:sz w:val="24"/>
                <w:szCs w:val="24"/>
              </w:rPr>
            </w:pPr>
            <w:r w:rsidRPr="00C61053">
              <w:rPr>
                <w:sz w:val="24"/>
                <w:szCs w:val="24"/>
              </w:rPr>
              <w:t>1</w:t>
            </w:r>
            <w:r w:rsidRPr="00C61053">
              <w:rPr>
                <w:sz w:val="24"/>
                <w:szCs w:val="24"/>
                <w:vertAlign w:val="superscript"/>
              </w:rPr>
              <w:t>st</w:t>
            </w:r>
            <w:r w:rsidRPr="00C61053">
              <w:rPr>
                <w:sz w:val="24"/>
                <w:szCs w:val="24"/>
              </w:rPr>
              <w:t xml:space="preserve"> release of the Sexual and Reproductive Health Profiles</w:t>
            </w:r>
          </w:p>
        </w:tc>
      </w:tr>
      <w:tr w:rsidR="00EF145F" w:rsidRPr="007F392D" w14:paraId="10229F38" w14:textId="77777777" w:rsidTr="0020488A">
        <w:tc>
          <w:tcPr>
            <w:tcW w:w="2184" w:type="dxa"/>
            <w:tcBorders>
              <w:bottom w:val="nil"/>
            </w:tcBorders>
            <w:shd w:val="clear" w:color="auto" w:fill="F2F2F2" w:themeFill="background1" w:themeFillShade="F2"/>
          </w:tcPr>
          <w:p w14:paraId="7DB2C188" w14:textId="77777777" w:rsidR="00EF145F" w:rsidRPr="007F392D" w:rsidRDefault="00EF145F" w:rsidP="000A40A0">
            <w:pPr>
              <w:rPr>
                <w:i/>
                <w:sz w:val="28"/>
                <w:szCs w:val="28"/>
              </w:rPr>
            </w:pPr>
            <w:r w:rsidRPr="007F392D">
              <w:rPr>
                <w:i/>
                <w:sz w:val="28"/>
                <w:szCs w:val="28"/>
              </w:rPr>
              <w:t>May</w:t>
            </w:r>
          </w:p>
        </w:tc>
        <w:tc>
          <w:tcPr>
            <w:tcW w:w="7739" w:type="dxa"/>
            <w:tcBorders>
              <w:bottom w:val="nil"/>
            </w:tcBorders>
            <w:shd w:val="clear" w:color="auto" w:fill="F2F2F2" w:themeFill="background1" w:themeFillShade="F2"/>
          </w:tcPr>
          <w:p w14:paraId="4DB76821" w14:textId="77777777" w:rsidR="00EF145F" w:rsidRPr="00A336DF" w:rsidRDefault="00EF145F" w:rsidP="000A40A0">
            <w:pPr>
              <w:pStyle w:val="ListParagraph"/>
              <w:ind w:left="360"/>
              <w:rPr>
                <w:sz w:val="24"/>
                <w:szCs w:val="24"/>
              </w:rPr>
            </w:pPr>
          </w:p>
        </w:tc>
      </w:tr>
      <w:tr w:rsidR="00EF145F" w:rsidRPr="00DB583C" w14:paraId="67635D8F" w14:textId="77777777" w:rsidTr="0020488A">
        <w:tc>
          <w:tcPr>
            <w:tcW w:w="2184" w:type="dxa"/>
            <w:tcBorders>
              <w:top w:val="nil"/>
            </w:tcBorders>
          </w:tcPr>
          <w:p w14:paraId="1B42EA08" w14:textId="77777777" w:rsidR="00EF145F" w:rsidRPr="00DB583C" w:rsidRDefault="00EF145F" w:rsidP="000A40A0">
            <w:pPr>
              <w:rPr>
                <w:sz w:val="28"/>
                <w:szCs w:val="28"/>
              </w:rPr>
            </w:pPr>
          </w:p>
        </w:tc>
        <w:tc>
          <w:tcPr>
            <w:tcW w:w="7739" w:type="dxa"/>
            <w:tcBorders>
              <w:top w:val="nil"/>
            </w:tcBorders>
          </w:tcPr>
          <w:p w14:paraId="711901B5" w14:textId="77777777" w:rsidR="00EF145F" w:rsidRPr="00A629A5" w:rsidRDefault="00EF145F" w:rsidP="000A40A0">
            <w:pPr>
              <w:pStyle w:val="ListParagraph"/>
              <w:numPr>
                <w:ilvl w:val="0"/>
                <w:numId w:val="1"/>
              </w:numPr>
              <w:ind w:left="293" w:hanging="259"/>
              <w:rPr>
                <w:sz w:val="24"/>
                <w:szCs w:val="24"/>
              </w:rPr>
            </w:pPr>
            <w:r w:rsidRPr="00C61053">
              <w:rPr>
                <w:sz w:val="24"/>
                <w:szCs w:val="24"/>
              </w:rPr>
              <w:t>Under 18s</w:t>
            </w:r>
            <w:r>
              <w:rPr>
                <w:sz w:val="24"/>
                <w:szCs w:val="24"/>
              </w:rPr>
              <w:t xml:space="preserve"> alcohol-specific hospital admissions</w:t>
            </w:r>
            <w:r w:rsidRPr="00C61053">
              <w:rPr>
                <w:sz w:val="24"/>
                <w:szCs w:val="24"/>
              </w:rPr>
              <w:t xml:space="preserve">, </w:t>
            </w:r>
            <w:r>
              <w:rPr>
                <w:sz w:val="24"/>
                <w:szCs w:val="24"/>
              </w:rPr>
              <w:t>2010/11-</w:t>
            </w:r>
            <w:r w:rsidRPr="00C61053">
              <w:rPr>
                <w:sz w:val="24"/>
                <w:szCs w:val="24"/>
              </w:rPr>
              <w:t xml:space="preserve">2012/13 </w:t>
            </w:r>
            <w:r>
              <w:rPr>
                <w:sz w:val="24"/>
                <w:szCs w:val="24"/>
              </w:rPr>
              <w:t xml:space="preserve">(pooled) </w:t>
            </w:r>
            <w:r w:rsidRPr="00C61053">
              <w:rPr>
                <w:sz w:val="24"/>
                <w:szCs w:val="24"/>
              </w:rPr>
              <w:t xml:space="preserve">– </w:t>
            </w:r>
            <w:r>
              <w:rPr>
                <w:sz w:val="24"/>
                <w:szCs w:val="24"/>
              </w:rPr>
              <w:t xml:space="preserve">update and </w:t>
            </w:r>
            <w:r w:rsidRPr="00C61053">
              <w:rPr>
                <w:sz w:val="24"/>
                <w:szCs w:val="24"/>
              </w:rPr>
              <w:t>revised definition.</w:t>
            </w:r>
          </w:p>
        </w:tc>
      </w:tr>
      <w:tr w:rsidR="00EF145F" w:rsidRPr="007F392D" w14:paraId="28C5CF6E" w14:textId="77777777" w:rsidTr="0020488A">
        <w:tc>
          <w:tcPr>
            <w:tcW w:w="2184" w:type="dxa"/>
            <w:tcBorders>
              <w:bottom w:val="nil"/>
            </w:tcBorders>
            <w:shd w:val="clear" w:color="auto" w:fill="F2F2F2" w:themeFill="background1" w:themeFillShade="F2"/>
          </w:tcPr>
          <w:p w14:paraId="6A092ADC" w14:textId="77777777" w:rsidR="00EF145F" w:rsidRPr="007F392D" w:rsidRDefault="00EF145F" w:rsidP="000A40A0">
            <w:pPr>
              <w:rPr>
                <w:i/>
                <w:sz w:val="28"/>
                <w:szCs w:val="28"/>
              </w:rPr>
            </w:pPr>
            <w:r w:rsidRPr="007F392D">
              <w:rPr>
                <w:i/>
                <w:sz w:val="28"/>
                <w:szCs w:val="28"/>
              </w:rPr>
              <w:t>June</w:t>
            </w:r>
          </w:p>
        </w:tc>
        <w:tc>
          <w:tcPr>
            <w:tcW w:w="7739" w:type="dxa"/>
            <w:tcBorders>
              <w:bottom w:val="nil"/>
            </w:tcBorders>
            <w:shd w:val="clear" w:color="auto" w:fill="F2F2F2" w:themeFill="background1" w:themeFillShade="F2"/>
          </w:tcPr>
          <w:p w14:paraId="7CBE3A0C" w14:textId="77777777" w:rsidR="00EF145F" w:rsidRPr="00717B98" w:rsidRDefault="00EF145F" w:rsidP="000A40A0">
            <w:pPr>
              <w:rPr>
                <w:sz w:val="24"/>
                <w:szCs w:val="24"/>
              </w:rPr>
            </w:pPr>
          </w:p>
        </w:tc>
      </w:tr>
      <w:tr w:rsidR="00EF145F" w:rsidRPr="00DB583C" w14:paraId="3CAA3558" w14:textId="77777777" w:rsidTr="0020488A">
        <w:tc>
          <w:tcPr>
            <w:tcW w:w="2184" w:type="dxa"/>
            <w:tcBorders>
              <w:top w:val="nil"/>
            </w:tcBorders>
          </w:tcPr>
          <w:p w14:paraId="47B3662F" w14:textId="77777777" w:rsidR="00EF145F" w:rsidRPr="00DB583C" w:rsidRDefault="00EF145F" w:rsidP="000A40A0">
            <w:pPr>
              <w:rPr>
                <w:sz w:val="28"/>
                <w:szCs w:val="28"/>
              </w:rPr>
            </w:pPr>
          </w:p>
        </w:tc>
        <w:tc>
          <w:tcPr>
            <w:tcW w:w="7739" w:type="dxa"/>
            <w:tcBorders>
              <w:top w:val="nil"/>
            </w:tcBorders>
          </w:tcPr>
          <w:p w14:paraId="4863EDE5" w14:textId="77777777" w:rsidR="00EF145F" w:rsidRPr="00A336DF" w:rsidRDefault="00EF145F" w:rsidP="000A40A0">
            <w:pPr>
              <w:rPr>
                <w:sz w:val="24"/>
                <w:szCs w:val="24"/>
              </w:rPr>
            </w:pPr>
          </w:p>
        </w:tc>
      </w:tr>
      <w:tr w:rsidR="00EF145F" w:rsidRPr="007F392D" w14:paraId="76D16803" w14:textId="77777777" w:rsidTr="0020488A">
        <w:tc>
          <w:tcPr>
            <w:tcW w:w="2184" w:type="dxa"/>
            <w:tcBorders>
              <w:bottom w:val="nil"/>
            </w:tcBorders>
            <w:shd w:val="clear" w:color="auto" w:fill="F2F2F2" w:themeFill="background1" w:themeFillShade="F2"/>
          </w:tcPr>
          <w:p w14:paraId="68CD51EC" w14:textId="77777777" w:rsidR="00EF145F" w:rsidRPr="007F392D" w:rsidRDefault="00EF145F" w:rsidP="000A40A0">
            <w:pPr>
              <w:rPr>
                <w:i/>
                <w:sz w:val="28"/>
                <w:szCs w:val="28"/>
              </w:rPr>
            </w:pPr>
            <w:r w:rsidRPr="007F392D">
              <w:rPr>
                <w:i/>
                <w:sz w:val="28"/>
                <w:szCs w:val="28"/>
              </w:rPr>
              <w:t>July</w:t>
            </w:r>
          </w:p>
        </w:tc>
        <w:tc>
          <w:tcPr>
            <w:tcW w:w="7739" w:type="dxa"/>
            <w:tcBorders>
              <w:bottom w:val="nil"/>
            </w:tcBorders>
            <w:shd w:val="clear" w:color="auto" w:fill="F2F2F2" w:themeFill="background1" w:themeFillShade="F2"/>
          </w:tcPr>
          <w:p w14:paraId="27CCCC96" w14:textId="77777777" w:rsidR="00EF145F" w:rsidRPr="007F392D" w:rsidRDefault="00EF145F" w:rsidP="000A40A0">
            <w:pPr>
              <w:rPr>
                <w:i/>
                <w:sz w:val="28"/>
                <w:szCs w:val="28"/>
              </w:rPr>
            </w:pPr>
          </w:p>
        </w:tc>
      </w:tr>
      <w:tr w:rsidR="00EF145F" w:rsidRPr="00DB583C" w14:paraId="52DE81B3" w14:textId="77777777" w:rsidTr="0020488A">
        <w:tc>
          <w:tcPr>
            <w:tcW w:w="2184" w:type="dxa"/>
            <w:tcBorders>
              <w:top w:val="nil"/>
            </w:tcBorders>
          </w:tcPr>
          <w:p w14:paraId="5A902CE8" w14:textId="77777777" w:rsidR="00EF145F" w:rsidRDefault="00EF145F" w:rsidP="000A40A0">
            <w:pPr>
              <w:jc w:val="right"/>
              <w:rPr>
                <w:sz w:val="24"/>
                <w:szCs w:val="24"/>
              </w:rPr>
            </w:pPr>
          </w:p>
          <w:p w14:paraId="681796D2" w14:textId="77777777" w:rsidR="00EF145F" w:rsidRDefault="00EF145F" w:rsidP="000A40A0">
            <w:pPr>
              <w:jc w:val="right"/>
              <w:rPr>
                <w:sz w:val="24"/>
                <w:szCs w:val="24"/>
              </w:rPr>
            </w:pPr>
          </w:p>
          <w:p w14:paraId="6C01EE9F" w14:textId="77777777" w:rsidR="00EF145F" w:rsidRDefault="00EF145F" w:rsidP="000A40A0">
            <w:pPr>
              <w:jc w:val="right"/>
              <w:rPr>
                <w:sz w:val="24"/>
                <w:szCs w:val="24"/>
              </w:rPr>
            </w:pPr>
          </w:p>
          <w:p w14:paraId="212C3F07" w14:textId="77777777" w:rsidR="00EF145F" w:rsidRPr="003A6347" w:rsidRDefault="00EF145F" w:rsidP="000A40A0">
            <w:pPr>
              <w:rPr>
                <w:sz w:val="24"/>
                <w:szCs w:val="24"/>
              </w:rPr>
            </w:pPr>
          </w:p>
        </w:tc>
        <w:tc>
          <w:tcPr>
            <w:tcW w:w="7739" w:type="dxa"/>
            <w:tcBorders>
              <w:top w:val="nil"/>
            </w:tcBorders>
          </w:tcPr>
          <w:p w14:paraId="397AAD5C" w14:textId="77777777" w:rsidR="00EF145F" w:rsidRPr="0045648D" w:rsidRDefault="00EF145F" w:rsidP="000A40A0">
            <w:pPr>
              <w:pStyle w:val="ListParagraph"/>
              <w:numPr>
                <w:ilvl w:val="0"/>
                <w:numId w:val="1"/>
              </w:numPr>
              <w:ind w:left="293" w:hanging="259"/>
              <w:rPr>
                <w:sz w:val="24"/>
                <w:szCs w:val="24"/>
              </w:rPr>
            </w:pPr>
            <w:r w:rsidRPr="0045648D">
              <w:rPr>
                <w:sz w:val="24"/>
                <w:szCs w:val="24"/>
              </w:rPr>
              <w:lastRenderedPageBreak/>
              <w:t>A</w:t>
            </w:r>
            <w:r>
              <w:rPr>
                <w:sz w:val="24"/>
                <w:szCs w:val="24"/>
              </w:rPr>
              <w:t>ll indicators</w:t>
            </w:r>
            <w:r w:rsidRPr="0045648D">
              <w:rPr>
                <w:sz w:val="24"/>
                <w:szCs w:val="24"/>
              </w:rPr>
              <w:t xml:space="preserve"> relating to GUMCADv2 data (STIs excluding chlamydia and HIV) to be updated to include data for </w:t>
            </w:r>
            <w:r>
              <w:rPr>
                <w:sz w:val="24"/>
                <w:szCs w:val="24"/>
              </w:rPr>
              <w:t xml:space="preserve">the </w:t>
            </w:r>
            <w:r w:rsidRPr="0045648D">
              <w:rPr>
                <w:sz w:val="24"/>
                <w:szCs w:val="24"/>
              </w:rPr>
              <w:t>calendar year 2013.</w:t>
            </w:r>
          </w:p>
          <w:p w14:paraId="325976A4" w14:textId="77777777" w:rsidR="00EF145F" w:rsidRDefault="00EF145F" w:rsidP="000A40A0">
            <w:pPr>
              <w:pStyle w:val="ListParagraph"/>
              <w:numPr>
                <w:ilvl w:val="0"/>
                <w:numId w:val="1"/>
              </w:numPr>
              <w:ind w:left="293" w:hanging="259"/>
              <w:rPr>
                <w:sz w:val="24"/>
                <w:szCs w:val="24"/>
              </w:rPr>
            </w:pPr>
            <w:r>
              <w:rPr>
                <w:sz w:val="24"/>
                <w:szCs w:val="24"/>
              </w:rPr>
              <w:lastRenderedPageBreak/>
              <w:t>All indicators</w:t>
            </w:r>
            <w:r w:rsidRPr="0045648D">
              <w:rPr>
                <w:sz w:val="24"/>
                <w:szCs w:val="24"/>
              </w:rPr>
              <w:t xml:space="preserve"> relating to chlamydia data (</w:t>
            </w:r>
            <w:r>
              <w:rPr>
                <w:sz w:val="24"/>
                <w:szCs w:val="24"/>
              </w:rPr>
              <w:t>CT</w:t>
            </w:r>
            <w:r w:rsidRPr="0045648D">
              <w:rPr>
                <w:sz w:val="24"/>
                <w:szCs w:val="24"/>
              </w:rPr>
              <w:t xml:space="preserve">AD dataset) data to be updated to include data for </w:t>
            </w:r>
            <w:r>
              <w:rPr>
                <w:sz w:val="24"/>
                <w:szCs w:val="24"/>
              </w:rPr>
              <w:t xml:space="preserve">the </w:t>
            </w:r>
            <w:r w:rsidRPr="0045648D">
              <w:rPr>
                <w:sz w:val="24"/>
                <w:szCs w:val="24"/>
              </w:rPr>
              <w:t>calendar year 2013.</w:t>
            </w:r>
          </w:p>
          <w:p w14:paraId="2D2951B6" w14:textId="77777777" w:rsidR="00EF145F" w:rsidRDefault="00EF145F" w:rsidP="000A40A0">
            <w:pPr>
              <w:pStyle w:val="ListParagraph"/>
              <w:numPr>
                <w:ilvl w:val="0"/>
                <w:numId w:val="1"/>
              </w:numPr>
              <w:ind w:left="293" w:hanging="259"/>
              <w:rPr>
                <w:sz w:val="24"/>
                <w:szCs w:val="24"/>
              </w:rPr>
            </w:pPr>
            <w:r w:rsidRPr="00CB4E3A">
              <w:rPr>
                <w:sz w:val="24"/>
                <w:szCs w:val="24"/>
              </w:rPr>
              <w:t>Uptake of HIV testing among MSM, women and men measured separately in GUM – to include data for</w:t>
            </w:r>
            <w:r>
              <w:rPr>
                <w:sz w:val="24"/>
                <w:szCs w:val="24"/>
              </w:rPr>
              <w:t xml:space="preserve"> the</w:t>
            </w:r>
            <w:r w:rsidRPr="00CB4E3A">
              <w:rPr>
                <w:sz w:val="24"/>
                <w:szCs w:val="24"/>
              </w:rPr>
              <w:t xml:space="preserve"> calendar year 2013.</w:t>
            </w:r>
          </w:p>
          <w:p w14:paraId="25308EAE" w14:textId="77777777" w:rsidR="00EF145F" w:rsidRPr="00CB4E3A" w:rsidRDefault="00EF145F" w:rsidP="000A40A0">
            <w:pPr>
              <w:pStyle w:val="ListParagraph"/>
              <w:numPr>
                <w:ilvl w:val="0"/>
                <w:numId w:val="1"/>
              </w:numPr>
              <w:ind w:left="293" w:hanging="259"/>
              <w:rPr>
                <w:sz w:val="24"/>
                <w:szCs w:val="24"/>
              </w:rPr>
            </w:pPr>
            <w:r w:rsidRPr="00CB4E3A">
              <w:rPr>
                <w:sz w:val="24"/>
                <w:szCs w:val="24"/>
              </w:rPr>
              <w:t xml:space="preserve">Coverage of HIV testing among MSM, women and men measured separately in GUM – to include data for </w:t>
            </w:r>
            <w:r>
              <w:rPr>
                <w:sz w:val="24"/>
                <w:szCs w:val="24"/>
              </w:rPr>
              <w:t xml:space="preserve">the </w:t>
            </w:r>
            <w:r w:rsidRPr="00CB4E3A">
              <w:rPr>
                <w:sz w:val="24"/>
                <w:szCs w:val="24"/>
              </w:rPr>
              <w:t>calendar year 2013.</w:t>
            </w:r>
          </w:p>
        </w:tc>
      </w:tr>
      <w:tr w:rsidR="00EF145F" w:rsidRPr="007F392D" w14:paraId="2F414F35" w14:textId="77777777" w:rsidTr="0020488A">
        <w:tc>
          <w:tcPr>
            <w:tcW w:w="2184" w:type="dxa"/>
            <w:tcBorders>
              <w:bottom w:val="nil"/>
            </w:tcBorders>
            <w:shd w:val="clear" w:color="auto" w:fill="F2F2F2" w:themeFill="background1" w:themeFillShade="F2"/>
          </w:tcPr>
          <w:p w14:paraId="3D229DB9" w14:textId="77777777" w:rsidR="00EF145F" w:rsidRPr="007F392D" w:rsidRDefault="00EF145F" w:rsidP="000A40A0">
            <w:pPr>
              <w:rPr>
                <w:i/>
                <w:sz w:val="28"/>
                <w:szCs w:val="28"/>
              </w:rPr>
            </w:pPr>
            <w:r w:rsidRPr="007F392D">
              <w:rPr>
                <w:i/>
                <w:sz w:val="28"/>
                <w:szCs w:val="28"/>
              </w:rPr>
              <w:lastRenderedPageBreak/>
              <w:t>August</w:t>
            </w:r>
          </w:p>
        </w:tc>
        <w:tc>
          <w:tcPr>
            <w:tcW w:w="7739" w:type="dxa"/>
            <w:tcBorders>
              <w:bottom w:val="nil"/>
            </w:tcBorders>
            <w:shd w:val="clear" w:color="auto" w:fill="F2F2F2" w:themeFill="background1" w:themeFillShade="F2"/>
          </w:tcPr>
          <w:p w14:paraId="7409990C" w14:textId="77777777" w:rsidR="00EF145F" w:rsidRPr="007F392D" w:rsidRDefault="00EF145F" w:rsidP="000A40A0">
            <w:pPr>
              <w:rPr>
                <w:i/>
                <w:sz w:val="28"/>
                <w:szCs w:val="28"/>
              </w:rPr>
            </w:pPr>
          </w:p>
        </w:tc>
      </w:tr>
      <w:tr w:rsidR="00EF145F" w:rsidRPr="00DB583C" w14:paraId="6CD34F1A" w14:textId="77777777" w:rsidTr="0020488A">
        <w:tc>
          <w:tcPr>
            <w:tcW w:w="2184" w:type="dxa"/>
            <w:tcBorders>
              <w:top w:val="nil"/>
            </w:tcBorders>
          </w:tcPr>
          <w:p w14:paraId="778862D1" w14:textId="77777777" w:rsidR="00EF145F" w:rsidRPr="00DB583C" w:rsidRDefault="00EF145F" w:rsidP="000A40A0">
            <w:pPr>
              <w:rPr>
                <w:sz w:val="28"/>
                <w:szCs w:val="28"/>
              </w:rPr>
            </w:pPr>
          </w:p>
        </w:tc>
        <w:tc>
          <w:tcPr>
            <w:tcW w:w="7739" w:type="dxa"/>
            <w:tcBorders>
              <w:top w:val="nil"/>
            </w:tcBorders>
          </w:tcPr>
          <w:p w14:paraId="4643DF77" w14:textId="77777777" w:rsidR="00EF145F" w:rsidRPr="00A74B2C" w:rsidRDefault="00EF145F" w:rsidP="000A40A0">
            <w:pPr>
              <w:pStyle w:val="ListParagraph"/>
              <w:numPr>
                <w:ilvl w:val="0"/>
                <w:numId w:val="5"/>
              </w:numPr>
              <w:rPr>
                <w:sz w:val="28"/>
                <w:szCs w:val="28"/>
              </w:rPr>
            </w:pPr>
            <w:r>
              <w:rPr>
                <w:sz w:val="24"/>
                <w:szCs w:val="24"/>
              </w:rPr>
              <w:t>Abortion indicators update for 2013</w:t>
            </w:r>
          </w:p>
          <w:p w14:paraId="34E0B5AB" w14:textId="77777777" w:rsidR="00EF145F" w:rsidRPr="00B65E69" w:rsidRDefault="00EF145F" w:rsidP="000A40A0">
            <w:pPr>
              <w:pStyle w:val="ListParagraph"/>
              <w:numPr>
                <w:ilvl w:val="0"/>
                <w:numId w:val="5"/>
              </w:numPr>
              <w:rPr>
                <w:sz w:val="28"/>
                <w:szCs w:val="28"/>
              </w:rPr>
            </w:pPr>
            <w:r w:rsidRPr="00A629A5">
              <w:rPr>
                <w:sz w:val="24"/>
                <w:szCs w:val="24"/>
              </w:rPr>
              <w:t xml:space="preserve">GCSE </w:t>
            </w:r>
            <w:r>
              <w:rPr>
                <w:sz w:val="24"/>
                <w:szCs w:val="24"/>
              </w:rPr>
              <w:t xml:space="preserve">achieved 5A*-C inc. </w:t>
            </w:r>
            <w:proofErr w:type="spellStart"/>
            <w:r>
              <w:rPr>
                <w:sz w:val="24"/>
                <w:szCs w:val="24"/>
              </w:rPr>
              <w:t>Eng</w:t>
            </w:r>
            <w:proofErr w:type="spellEnd"/>
            <w:r>
              <w:rPr>
                <w:sz w:val="24"/>
                <w:szCs w:val="24"/>
              </w:rPr>
              <w:t xml:space="preserve"> &amp; Maths indicator update</w:t>
            </w:r>
            <w:r w:rsidRPr="00A629A5">
              <w:rPr>
                <w:sz w:val="24"/>
                <w:szCs w:val="24"/>
              </w:rPr>
              <w:t xml:space="preserve"> </w:t>
            </w:r>
            <w:r>
              <w:rPr>
                <w:sz w:val="24"/>
                <w:szCs w:val="24"/>
              </w:rPr>
              <w:t xml:space="preserve">for </w:t>
            </w:r>
            <w:r w:rsidRPr="00A629A5">
              <w:rPr>
                <w:sz w:val="24"/>
                <w:szCs w:val="24"/>
              </w:rPr>
              <w:t>2012/13</w:t>
            </w:r>
          </w:p>
          <w:p w14:paraId="2BA62801" w14:textId="77777777" w:rsidR="00EF145F" w:rsidRPr="001A3D77" w:rsidRDefault="00EF145F" w:rsidP="000A40A0">
            <w:pPr>
              <w:pStyle w:val="ListParagraph"/>
              <w:numPr>
                <w:ilvl w:val="0"/>
                <w:numId w:val="5"/>
              </w:numPr>
              <w:rPr>
                <w:sz w:val="28"/>
                <w:szCs w:val="28"/>
              </w:rPr>
            </w:pPr>
            <w:r>
              <w:rPr>
                <w:sz w:val="24"/>
                <w:szCs w:val="24"/>
              </w:rPr>
              <w:t>Pupil absence (PHOF indicator) update for 2012/13</w:t>
            </w:r>
          </w:p>
          <w:p w14:paraId="205981C3" w14:textId="77777777" w:rsidR="00EF145F" w:rsidRPr="00531BD0" w:rsidRDefault="00EF145F" w:rsidP="000A40A0">
            <w:pPr>
              <w:pStyle w:val="ListParagraph"/>
              <w:numPr>
                <w:ilvl w:val="0"/>
                <w:numId w:val="5"/>
              </w:numPr>
              <w:rPr>
                <w:sz w:val="28"/>
                <w:szCs w:val="28"/>
              </w:rPr>
            </w:pPr>
            <w:r>
              <w:rPr>
                <w:sz w:val="24"/>
                <w:szCs w:val="24"/>
              </w:rPr>
              <w:t>Some teenage pregnancy and reproductive health indicators updated to enable benchmarking against PHE Centre values</w:t>
            </w:r>
          </w:p>
          <w:p w14:paraId="24D3CFB0" w14:textId="77777777" w:rsidR="00EF145F" w:rsidRPr="00531BD0" w:rsidRDefault="00EF145F" w:rsidP="000A40A0">
            <w:pPr>
              <w:pStyle w:val="ListParagraph"/>
              <w:numPr>
                <w:ilvl w:val="0"/>
                <w:numId w:val="5"/>
              </w:numPr>
              <w:rPr>
                <w:sz w:val="28"/>
                <w:szCs w:val="28"/>
              </w:rPr>
            </w:pPr>
            <w:r>
              <w:rPr>
                <w:sz w:val="24"/>
                <w:szCs w:val="24"/>
              </w:rPr>
              <w:t>New default option to benchmark against nationally advised goals for chlamydia diagnosis and HPV vaccine coverage (PHOF indicators)</w:t>
            </w:r>
          </w:p>
        </w:tc>
      </w:tr>
      <w:tr w:rsidR="00EF145F" w:rsidRPr="007F392D" w14:paraId="054882F0" w14:textId="77777777" w:rsidTr="0020488A">
        <w:tc>
          <w:tcPr>
            <w:tcW w:w="2184" w:type="dxa"/>
            <w:tcBorders>
              <w:bottom w:val="nil"/>
            </w:tcBorders>
            <w:shd w:val="clear" w:color="auto" w:fill="F2F2F2" w:themeFill="background1" w:themeFillShade="F2"/>
          </w:tcPr>
          <w:p w14:paraId="018E932F" w14:textId="77777777" w:rsidR="00EF145F" w:rsidRPr="007F392D" w:rsidRDefault="00EF145F" w:rsidP="000A40A0">
            <w:pPr>
              <w:rPr>
                <w:i/>
                <w:sz w:val="28"/>
                <w:szCs w:val="28"/>
              </w:rPr>
            </w:pPr>
            <w:r w:rsidRPr="007F392D">
              <w:rPr>
                <w:i/>
                <w:sz w:val="28"/>
                <w:szCs w:val="28"/>
              </w:rPr>
              <w:t>September</w:t>
            </w:r>
          </w:p>
        </w:tc>
        <w:tc>
          <w:tcPr>
            <w:tcW w:w="7739" w:type="dxa"/>
            <w:tcBorders>
              <w:bottom w:val="nil"/>
            </w:tcBorders>
            <w:shd w:val="clear" w:color="auto" w:fill="F2F2F2" w:themeFill="background1" w:themeFillShade="F2"/>
          </w:tcPr>
          <w:p w14:paraId="55B11391" w14:textId="77777777" w:rsidR="00EF145F" w:rsidRPr="007F392D" w:rsidRDefault="00EF145F" w:rsidP="000A40A0">
            <w:pPr>
              <w:rPr>
                <w:i/>
                <w:sz w:val="28"/>
                <w:szCs w:val="28"/>
              </w:rPr>
            </w:pPr>
          </w:p>
        </w:tc>
      </w:tr>
      <w:tr w:rsidR="00EF145F" w:rsidRPr="00DB583C" w14:paraId="4DFAA41D" w14:textId="77777777" w:rsidTr="0020488A">
        <w:tc>
          <w:tcPr>
            <w:tcW w:w="2184" w:type="dxa"/>
            <w:tcBorders>
              <w:top w:val="nil"/>
            </w:tcBorders>
          </w:tcPr>
          <w:p w14:paraId="49D3E749" w14:textId="77777777" w:rsidR="00EF145F" w:rsidRPr="00DB583C" w:rsidRDefault="00EF145F" w:rsidP="000A40A0">
            <w:pPr>
              <w:rPr>
                <w:sz w:val="28"/>
                <w:szCs w:val="28"/>
              </w:rPr>
            </w:pPr>
            <w:r>
              <w:rPr>
                <w:sz w:val="28"/>
                <w:szCs w:val="28"/>
              </w:rPr>
              <w:t xml:space="preserve">                                                                                      </w:t>
            </w:r>
          </w:p>
        </w:tc>
        <w:tc>
          <w:tcPr>
            <w:tcW w:w="7739" w:type="dxa"/>
            <w:tcBorders>
              <w:top w:val="nil"/>
            </w:tcBorders>
          </w:tcPr>
          <w:p w14:paraId="615CBAE7" w14:textId="77777777" w:rsidR="00EF145F" w:rsidRPr="00D94F68" w:rsidRDefault="00EF145F" w:rsidP="000A40A0">
            <w:pPr>
              <w:pStyle w:val="ListParagraph"/>
              <w:numPr>
                <w:ilvl w:val="0"/>
                <w:numId w:val="5"/>
              </w:numPr>
              <w:rPr>
                <w:sz w:val="28"/>
                <w:szCs w:val="28"/>
              </w:rPr>
            </w:pPr>
            <w:r w:rsidRPr="00B65E69">
              <w:rPr>
                <w:sz w:val="24"/>
                <w:szCs w:val="24"/>
              </w:rPr>
              <w:t xml:space="preserve">GP prescribed LARC, </w:t>
            </w:r>
            <w:r>
              <w:rPr>
                <w:sz w:val="24"/>
                <w:szCs w:val="24"/>
              </w:rPr>
              <w:t xml:space="preserve">2011 to 2013 – update and revised definition  </w:t>
            </w:r>
          </w:p>
          <w:p w14:paraId="3D7B1286" w14:textId="77777777" w:rsidR="00EF145F" w:rsidRPr="00D94F68" w:rsidRDefault="00EF145F" w:rsidP="000A40A0">
            <w:pPr>
              <w:pStyle w:val="ListParagraph"/>
              <w:numPr>
                <w:ilvl w:val="0"/>
                <w:numId w:val="5"/>
              </w:numPr>
              <w:contextualSpacing w:val="0"/>
              <w:rPr>
                <w:sz w:val="24"/>
                <w:szCs w:val="24"/>
              </w:rPr>
            </w:pPr>
            <w:proofErr w:type="gramStart"/>
            <w:r>
              <w:rPr>
                <w:sz w:val="24"/>
                <w:szCs w:val="24"/>
              </w:rPr>
              <w:t>16-18 year</w:t>
            </w:r>
            <w:proofErr w:type="gramEnd"/>
            <w:r>
              <w:rPr>
                <w:sz w:val="24"/>
                <w:szCs w:val="24"/>
              </w:rPr>
              <w:t xml:space="preserve"> olds not in education, employment or training (PHOF indicator) update for 2013</w:t>
            </w:r>
          </w:p>
          <w:p w14:paraId="35827A05" w14:textId="77777777" w:rsidR="00EF145F" w:rsidRPr="009D574E" w:rsidRDefault="00EF145F" w:rsidP="000A40A0">
            <w:pPr>
              <w:pStyle w:val="ListParagraph"/>
              <w:numPr>
                <w:ilvl w:val="0"/>
                <w:numId w:val="5"/>
              </w:numPr>
              <w:rPr>
                <w:sz w:val="28"/>
                <w:szCs w:val="28"/>
              </w:rPr>
            </w:pPr>
            <w:r>
              <w:rPr>
                <w:sz w:val="24"/>
                <w:szCs w:val="24"/>
              </w:rPr>
              <w:t>First time entrants to the youth justice system (PHOF indicator), 2010 to 2013 – update and revised definition</w:t>
            </w:r>
          </w:p>
          <w:p w14:paraId="698FD566" w14:textId="77777777" w:rsidR="00EF145F" w:rsidRPr="00A74B2C" w:rsidRDefault="00EF145F" w:rsidP="000A40A0">
            <w:pPr>
              <w:pStyle w:val="ListParagraph"/>
              <w:numPr>
                <w:ilvl w:val="0"/>
                <w:numId w:val="5"/>
              </w:numPr>
              <w:rPr>
                <w:sz w:val="28"/>
                <w:szCs w:val="28"/>
              </w:rPr>
            </w:pPr>
            <w:r>
              <w:rPr>
                <w:sz w:val="24"/>
                <w:szCs w:val="24"/>
              </w:rPr>
              <w:t>New option to print a pdf version of charts showing local authority comparisons against national values and other LAs in the region</w:t>
            </w:r>
          </w:p>
        </w:tc>
      </w:tr>
      <w:tr w:rsidR="00EF145F" w:rsidRPr="007F392D" w14:paraId="0F0A6E44" w14:textId="77777777" w:rsidTr="0020488A">
        <w:tc>
          <w:tcPr>
            <w:tcW w:w="2184" w:type="dxa"/>
            <w:tcBorders>
              <w:bottom w:val="nil"/>
            </w:tcBorders>
            <w:shd w:val="clear" w:color="auto" w:fill="F2F2F2" w:themeFill="background1" w:themeFillShade="F2"/>
          </w:tcPr>
          <w:p w14:paraId="2376C241" w14:textId="77777777" w:rsidR="00EF145F" w:rsidRPr="007F392D" w:rsidRDefault="00EF145F" w:rsidP="000A40A0">
            <w:pPr>
              <w:rPr>
                <w:i/>
                <w:sz w:val="28"/>
                <w:szCs w:val="28"/>
              </w:rPr>
            </w:pPr>
            <w:r w:rsidRPr="007F392D">
              <w:rPr>
                <w:i/>
                <w:sz w:val="28"/>
                <w:szCs w:val="28"/>
              </w:rPr>
              <w:t>October</w:t>
            </w:r>
          </w:p>
        </w:tc>
        <w:tc>
          <w:tcPr>
            <w:tcW w:w="7739" w:type="dxa"/>
            <w:tcBorders>
              <w:bottom w:val="nil"/>
            </w:tcBorders>
            <w:shd w:val="clear" w:color="auto" w:fill="F2F2F2" w:themeFill="background1" w:themeFillShade="F2"/>
          </w:tcPr>
          <w:p w14:paraId="1E0709AA" w14:textId="77777777" w:rsidR="00EF145F" w:rsidRPr="007F392D" w:rsidRDefault="00EF145F" w:rsidP="000A40A0">
            <w:pPr>
              <w:rPr>
                <w:i/>
                <w:sz w:val="28"/>
                <w:szCs w:val="28"/>
              </w:rPr>
            </w:pPr>
          </w:p>
        </w:tc>
      </w:tr>
      <w:tr w:rsidR="00EF145F" w:rsidRPr="00DB583C" w14:paraId="3CCF91CF" w14:textId="77777777" w:rsidTr="0020488A">
        <w:tc>
          <w:tcPr>
            <w:tcW w:w="2184" w:type="dxa"/>
            <w:tcBorders>
              <w:top w:val="nil"/>
            </w:tcBorders>
          </w:tcPr>
          <w:p w14:paraId="1E34E053" w14:textId="77777777" w:rsidR="00EF145F" w:rsidRPr="00DB583C" w:rsidRDefault="00EF145F" w:rsidP="000A40A0">
            <w:pPr>
              <w:rPr>
                <w:sz w:val="28"/>
                <w:szCs w:val="28"/>
              </w:rPr>
            </w:pPr>
          </w:p>
        </w:tc>
        <w:tc>
          <w:tcPr>
            <w:tcW w:w="7739" w:type="dxa"/>
            <w:tcBorders>
              <w:top w:val="nil"/>
            </w:tcBorders>
          </w:tcPr>
          <w:p w14:paraId="6D8E9DC7" w14:textId="77777777" w:rsidR="00EF145F" w:rsidRPr="0045648D" w:rsidRDefault="00EF145F" w:rsidP="000A40A0">
            <w:pPr>
              <w:pStyle w:val="ListParagraph"/>
              <w:numPr>
                <w:ilvl w:val="0"/>
                <w:numId w:val="1"/>
              </w:numPr>
              <w:ind w:left="293" w:hanging="259"/>
              <w:rPr>
                <w:sz w:val="24"/>
                <w:szCs w:val="24"/>
              </w:rPr>
            </w:pPr>
            <w:r w:rsidRPr="0045648D">
              <w:rPr>
                <w:sz w:val="24"/>
                <w:szCs w:val="24"/>
              </w:rPr>
              <w:t>People presenting with HIV at a late stage of infection: update to include 2013 data (shown as years 2011, 2012 &amp; 2013 combined).</w:t>
            </w:r>
          </w:p>
          <w:p w14:paraId="1347BC07" w14:textId="77777777" w:rsidR="00EF145F" w:rsidRDefault="00EF145F" w:rsidP="000A40A0">
            <w:pPr>
              <w:pStyle w:val="ListParagraph"/>
              <w:numPr>
                <w:ilvl w:val="0"/>
                <w:numId w:val="1"/>
              </w:numPr>
              <w:ind w:left="293" w:hanging="259"/>
              <w:rPr>
                <w:sz w:val="24"/>
                <w:szCs w:val="24"/>
              </w:rPr>
            </w:pPr>
            <w:r w:rsidRPr="0045648D">
              <w:rPr>
                <w:sz w:val="24"/>
                <w:szCs w:val="24"/>
              </w:rPr>
              <w:t>Prevalence of diagnosed HIV infection</w:t>
            </w:r>
            <w:r>
              <w:rPr>
                <w:sz w:val="24"/>
                <w:szCs w:val="24"/>
              </w:rPr>
              <w:t xml:space="preserve"> per </w:t>
            </w:r>
            <w:r w:rsidRPr="0045648D">
              <w:rPr>
                <w:sz w:val="24"/>
                <w:szCs w:val="24"/>
              </w:rPr>
              <w:t>1000 persons aged 15-59 years</w:t>
            </w:r>
            <w:r>
              <w:rPr>
                <w:sz w:val="24"/>
                <w:szCs w:val="24"/>
              </w:rPr>
              <w:t xml:space="preserve">: </w:t>
            </w:r>
            <w:r w:rsidRPr="0045648D">
              <w:rPr>
                <w:sz w:val="24"/>
                <w:szCs w:val="24"/>
              </w:rPr>
              <w:t>update to include 2013 data.</w:t>
            </w:r>
          </w:p>
          <w:p w14:paraId="42051F33" w14:textId="77777777" w:rsidR="00EF145F" w:rsidRDefault="00EF145F" w:rsidP="000A40A0">
            <w:pPr>
              <w:pStyle w:val="ListParagraph"/>
              <w:numPr>
                <w:ilvl w:val="0"/>
                <w:numId w:val="1"/>
              </w:numPr>
              <w:ind w:left="293" w:hanging="259"/>
              <w:rPr>
                <w:sz w:val="24"/>
                <w:szCs w:val="24"/>
              </w:rPr>
            </w:pPr>
            <w:r w:rsidRPr="007A1CB6">
              <w:rPr>
                <w:sz w:val="24"/>
                <w:szCs w:val="24"/>
              </w:rPr>
              <w:t>New default option to benchmark against national advised thresholds for the HIV late diagnoses and prevalence indicators</w:t>
            </w:r>
            <w:r>
              <w:rPr>
                <w:sz w:val="24"/>
                <w:szCs w:val="24"/>
              </w:rPr>
              <w:t>.</w:t>
            </w:r>
          </w:p>
          <w:p w14:paraId="598ACC61" w14:textId="77777777" w:rsidR="00EF145F" w:rsidRPr="00576820" w:rsidRDefault="00EF145F" w:rsidP="000A40A0">
            <w:pPr>
              <w:pStyle w:val="ListParagraph"/>
              <w:numPr>
                <w:ilvl w:val="0"/>
                <w:numId w:val="1"/>
              </w:numPr>
              <w:ind w:left="293" w:hanging="259"/>
              <w:rPr>
                <w:sz w:val="24"/>
                <w:szCs w:val="24"/>
              </w:rPr>
            </w:pPr>
            <w:r w:rsidRPr="00A63D63">
              <w:rPr>
                <w:sz w:val="24"/>
                <w:szCs w:val="24"/>
              </w:rPr>
              <w:t>New option to compare PHE Centre values and to group and benchmark these by PHE Region or England as a whole.</w:t>
            </w:r>
          </w:p>
        </w:tc>
      </w:tr>
      <w:tr w:rsidR="00EF145F" w:rsidRPr="007F392D" w14:paraId="0784A9B0" w14:textId="77777777" w:rsidTr="0020488A">
        <w:tc>
          <w:tcPr>
            <w:tcW w:w="2184" w:type="dxa"/>
            <w:tcBorders>
              <w:bottom w:val="nil"/>
            </w:tcBorders>
            <w:shd w:val="clear" w:color="auto" w:fill="F2F2F2" w:themeFill="background1" w:themeFillShade="F2"/>
          </w:tcPr>
          <w:p w14:paraId="0219939C" w14:textId="77777777" w:rsidR="00EF145F" w:rsidRPr="007F392D" w:rsidRDefault="00EF145F" w:rsidP="000A40A0">
            <w:pPr>
              <w:rPr>
                <w:i/>
                <w:sz w:val="28"/>
                <w:szCs w:val="28"/>
              </w:rPr>
            </w:pPr>
            <w:r w:rsidRPr="007F392D">
              <w:rPr>
                <w:i/>
                <w:sz w:val="28"/>
                <w:szCs w:val="28"/>
              </w:rPr>
              <w:t>November</w:t>
            </w:r>
          </w:p>
        </w:tc>
        <w:tc>
          <w:tcPr>
            <w:tcW w:w="7739" w:type="dxa"/>
            <w:tcBorders>
              <w:bottom w:val="nil"/>
            </w:tcBorders>
            <w:shd w:val="clear" w:color="auto" w:fill="F2F2F2" w:themeFill="background1" w:themeFillShade="F2"/>
          </w:tcPr>
          <w:p w14:paraId="2A40803F" w14:textId="77777777" w:rsidR="00EF145F" w:rsidRPr="007F392D" w:rsidRDefault="00EF145F" w:rsidP="000A40A0">
            <w:pPr>
              <w:rPr>
                <w:i/>
                <w:sz w:val="28"/>
                <w:szCs w:val="28"/>
              </w:rPr>
            </w:pPr>
          </w:p>
        </w:tc>
      </w:tr>
      <w:tr w:rsidR="00EF145F" w:rsidRPr="00DB583C" w14:paraId="23072C93" w14:textId="77777777" w:rsidTr="0020488A">
        <w:tc>
          <w:tcPr>
            <w:tcW w:w="2184" w:type="dxa"/>
            <w:tcBorders>
              <w:top w:val="nil"/>
            </w:tcBorders>
          </w:tcPr>
          <w:p w14:paraId="076E8348" w14:textId="77777777" w:rsidR="00EF145F" w:rsidRPr="00DB583C" w:rsidRDefault="00EF145F" w:rsidP="000A40A0">
            <w:pPr>
              <w:rPr>
                <w:sz w:val="28"/>
                <w:szCs w:val="28"/>
              </w:rPr>
            </w:pPr>
          </w:p>
        </w:tc>
        <w:tc>
          <w:tcPr>
            <w:tcW w:w="7739" w:type="dxa"/>
            <w:tcBorders>
              <w:top w:val="nil"/>
            </w:tcBorders>
          </w:tcPr>
          <w:p w14:paraId="35AF196E" w14:textId="77777777" w:rsidR="00EF145F" w:rsidRPr="00F90E76" w:rsidRDefault="00EF145F" w:rsidP="000A40A0">
            <w:pPr>
              <w:pStyle w:val="ListParagraph"/>
              <w:numPr>
                <w:ilvl w:val="0"/>
                <w:numId w:val="4"/>
              </w:numPr>
              <w:ind w:left="357" w:hanging="357"/>
              <w:rPr>
                <w:sz w:val="24"/>
                <w:szCs w:val="24"/>
              </w:rPr>
            </w:pPr>
            <w:r w:rsidRPr="000946DE">
              <w:rPr>
                <w:sz w:val="24"/>
                <w:szCs w:val="24"/>
              </w:rPr>
              <w:t>Sexual offences</w:t>
            </w:r>
            <w:r>
              <w:rPr>
                <w:sz w:val="24"/>
                <w:szCs w:val="24"/>
              </w:rPr>
              <w:t xml:space="preserve"> indicator update for 2013/14</w:t>
            </w:r>
          </w:p>
          <w:p w14:paraId="196F5440" w14:textId="77777777" w:rsidR="00EF145F" w:rsidRDefault="00EF145F" w:rsidP="000A40A0">
            <w:pPr>
              <w:pStyle w:val="ListParagraph"/>
              <w:numPr>
                <w:ilvl w:val="0"/>
                <w:numId w:val="4"/>
              </w:numPr>
              <w:ind w:left="357" w:hanging="357"/>
              <w:rPr>
                <w:sz w:val="24"/>
                <w:szCs w:val="24"/>
              </w:rPr>
            </w:pPr>
            <w:r w:rsidRPr="00F90E76">
              <w:rPr>
                <w:sz w:val="24"/>
                <w:szCs w:val="24"/>
              </w:rPr>
              <w:t xml:space="preserve">Teenage pregnancy indicators – some revised values for PHE Centres (under 16 </w:t>
            </w:r>
            <w:proofErr w:type="gramStart"/>
            <w:r w:rsidRPr="00F90E76">
              <w:rPr>
                <w:sz w:val="24"/>
                <w:szCs w:val="24"/>
              </w:rPr>
              <w:t>rate</w:t>
            </w:r>
            <w:proofErr w:type="gramEnd"/>
            <w:r w:rsidRPr="00F90E76">
              <w:rPr>
                <w:sz w:val="24"/>
                <w:szCs w:val="24"/>
              </w:rPr>
              <w:t xml:space="preserve"> only), PHE Regions, deprivation deciles or ONS clusters where previously excluded suppressed LA counts</w:t>
            </w:r>
          </w:p>
          <w:p w14:paraId="5EFFD312" w14:textId="77777777" w:rsidR="00EF145F" w:rsidRDefault="00EF145F" w:rsidP="000A40A0">
            <w:pPr>
              <w:pStyle w:val="ListParagraph"/>
              <w:numPr>
                <w:ilvl w:val="0"/>
                <w:numId w:val="4"/>
              </w:numPr>
              <w:ind w:left="357" w:hanging="357"/>
              <w:rPr>
                <w:sz w:val="24"/>
                <w:szCs w:val="24"/>
              </w:rPr>
            </w:pPr>
            <w:r w:rsidRPr="004A7088">
              <w:rPr>
                <w:sz w:val="24"/>
                <w:szCs w:val="24"/>
              </w:rPr>
              <w:t>Some PHE region values removed pending review</w:t>
            </w:r>
          </w:p>
          <w:p w14:paraId="17513FBE" w14:textId="77777777" w:rsidR="00EF145F" w:rsidRPr="0065333E" w:rsidRDefault="00EF145F" w:rsidP="000A40A0">
            <w:pPr>
              <w:pStyle w:val="ListParagraph"/>
              <w:numPr>
                <w:ilvl w:val="0"/>
                <w:numId w:val="4"/>
              </w:numPr>
              <w:ind w:left="357" w:hanging="357"/>
              <w:rPr>
                <w:sz w:val="24"/>
                <w:szCs w:val="24"/>
              </w:rPr>
            </w:pPr>
            <w:r w:rsidRPr="004A7088">
              <w:rPr>
                <w:sz w:val="24"/>
                <w:szCs w:val="24"/>
              </w:rPr>
              <w:t xml:space="preserve">Counts added to the spine charts in the </w:t>
            </w:r>
            <w:r>
              <w:rPr>
                <w:sz w:val="24"/>
                <w:szCs w:val="24"/>
              </w:rPr>
              <w:t>PDF</w:t>
            </w:r>
            <w:r w:rsidRPr="004A7088">
              <w:rPr>
                <w:sz w:val="24"/>
                <w:szCs w:val="24"/>
              </w:rPr>
              <w:t xml:space="preserve"> downloads</w:t>
            </w:r>
          </w:p>
        </w:tc>
      </w:tr>
      <w:tr w:rsidR="00EF145F" w:rsidRPr="007F392D" w14:paraId="4F9617C6" w14:textId="77777777" w:rsidTr="0020488A">
        <w:tc>
          <w:tcPr>
            <w:tcW w:w="2184" w:type="dxa"/>
            <w:tcBorders>
              <w:bottom w:val="nil"/>
            </w:tcBorders>
            <w:shd w:val="clear" w:color="auto" w:fill="F2F2F2" w:themeFill="background1" w:themeFillShade="F2"/>
          </w:tcPr>
          <w:p w14:paraId="6545C0FE" w14:textId="77777777" w:rsidR="00EF145F" w:rsidRPr="007F392D" w:rsidRDefault="00EF145F" w:rsidP="000A40A0">
            <w:pPr>
              <w:rPr>
                <w:i/>
                <w:sz w:val="28"/>
                <w:szCs w:val="28"/>
              </w:rPr>
            </w:pPr>
            <w:r w:rsidRPr="007F392D">
              <w:rPr>
                <w:i/>
                <w:sz w:val="28"/>
                <w:szCs w:val="28"/>
              </w:rPr>
              <w:t>December</w:t>
            </w:r>
          </w:p>
        </w:tc>
        <w:tc>
          <w:tcPr>
            <w:tcW w:w="7739" w:type="dxa"/>
            <w:tcBorders>
              <w:bottom w:val="nil"/>
            </w:tcBorders>
            <w:shd w:val="clear" w:color="auto" w:fill="F2F2F2" w:themeFill="background1" w:themeFillShade="F2"/>
          </w:tcPr>
          <w:p w14:paraId="4009B5F4" w14:textId="77777777" w:rsidR="00EF145F" w:rsidRPr="007F392D" w:rsidRDefault="00EF145F" w:rsidP="000A40A0">
            <w:pPr>
              <w:rPr>
                <w:i/>
                <w:sz w:val="28"/>
                <w:szCs w:val="28"/>
              </w:rPr>
            </w:pPr>
          </w:p>
        </w:tc>
      </w:tr>
      <w:tr w:rsidR="00EF145F" w:rsidRPr="00DB583C" w14:paraId="6D0EC7AC" w14:textId="77777777" w:rsidTr="0020488A">
        <w:tc>
          <w:tcPr>
            <w:tcW w:w="2184" w:type="dxa"/>
            <w:tcBorders>
              <w:top w:val="nil"/>
            </w:tcBorders>
          </w:tcPr>
          <w:p w14:paraId="4C1AE15E" w14:textId="77777777" w:rsidR="00EF145F" w:rsidRPr="002C3111" w:rsidRDefault="00EF145F" w:rsidP="000A40A0">
            <w:pPr>
              <w:rPr>
                <w:sz w:val="28"/>
                <w:szCs w:val="28"/>
              </w:rPr>
            </w:pPr>
          </w:p>
        </w:tc>
        <w:tc>
          <w:tcPr>
            <w:tcW w:w="7739" w:type="dxa"/>
            <w:tcBorders>
              <w:top w:val="nil"/>
            </w:tcBorders>
          </w:tcPr>
          <w:p w14:paraId="3E44B634" w14:textId="77777777" w:rsidR="00EF145F" w:rsidRPr="002C3111" w:rsidRDefault="00EF145F" w:rsidP="000A40A0">
            <w:pPr>
              <w:pStyle w:val="ListParagraph"/>
              <w:numPr>
                <w:ilvl w:val="0"/>
                <w:numId w:val="4"/>
              </w:numPr>
              <w:ind w:left="357" w:hanging="357"/>
              <w:rPr>
                <w:sz w:val="24"/>
                <w:szCs w:val="24"/>
              </w:rPr>
            </w:pPr>
            <w:r w:rsidRPr="002C3111">
              <w:rPr>
                <w:sz w:val="24"/>
                <w:szCs w:val="24"/>
              </w:rPr>
              <w:t xml:space="preserve">Introduction </w:t>
            </w:r>
            <w:proofErr w:type="gramStart"/>
            <w:r w:rsidRPr="002C3111">
              <w:rPr>
                <w:sz w:val="24"/>
                <w:szCs w:val="24"/>
              </w:rPr>
              <w:t>page  ‘</w:t>
            </w:r>
            <w:proofErr w:type="gramEnd"/>
            <w:r w:rsidRPr="002C3111">
              <w:rPr>
                <w:sz w:val="24"/>
                <w:szCs w:val="24"/>
              </w:rPr>
              <w:t>other useful links’ – considerably updated</w:t>
            </w:r>
          </w:p>
        </w:tc>
      </w:tr>
    </w:tbl>
    <w:p w14:paraId="6B0F0911" w14:textId="77777777" w:rsidR="000A40A0" w:rsidRPr="00C9263D" w:rsidRDefault="000A40A0" w:rsidP="004A0539"/>
    <w:sectPr w:rsidR="000A40A0" w:rsidRPr="00C9263D" w:rsidSect="004A0539">
      <w:headerReference w:type="default" r:id="rId11"/>
      <w:footerReference w:type="default" r:id="rId12"/>
      <w:headerReference w:type="first" r:id="rId13"/>
      <w:footerReference w:type="first" r:id="rId14"/>
      <w:pgSz w:w="11906" w:h="16838"/>
      <w:pgMar w:top="955" w:right="851" w:bottom="993" w:left="1134" w:header="564" w:footer="1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8D6E8" w14:textId="77777777" w:rsidR="00D71BCE" w:rsidRDefault="00D71BCE" w:rsidP="00C9263D">
      <w:pPr>
        <w:spacing w:after="0" w:line="240" w:lineRule="auto"/>
      </w:pPr>
      <w:r>
        <w:separator/>
      </w:r>
    </w:p>
  </w:endnote>
  <w:endnote w:type="continuationSeparator" w:id="0">
    <w:p w14:paraId="60FD8597" w14:textId="77777777" w:rsidR="00D71BCE" w:rsidRDefault="00D71BCE" w:rsidP="00C92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367809"/>
      <w:docPartObj>
        <w:docPartGallery w:val="Page Numbers (Bottom of Page)"/>
        <w:docPartUnique/>
      </w:docPartObj>
    </w:sdtPr>
    <w:sdtEndPr/>
    <w:sdtContent>
      <w:p w14:paraId="7E90F6C6" w14:textId="77777777" w:rsidR="00021E15" w:rsidRPr="00C9263D" w:rsidRDefault="008C5207" w:rsidP="00093B98">
        <w:pPr>
          <w:pStyle w:val="Footer"/>
        </w:pPr>
        <w:r>
          <w:fldChar w:fldCharType="begin"/>
        </w:r>
        <w:r w:rsidR="00DE3B5C">
          <w:instrText xml:space="preserve"> PAGE   \* MERGEFORMAT </w:instrText>
        </w:r>
        <w:r>
          <w:fldChar w:fldCharType="separate"/>
        </w:r>
        <w:r w:rsidR="0067047C">
          <w:t>9</w:t>
        </w:r>
        <w:r>
          <w:fldChar w:fldCharType="end"/>
        </w:r>
      </w:p>
    </w:sdtContent>
  </w:sdt>
  <w:p w14:paraId="1A580DE2" w14:textId="77777777" w:rsidR="00021E15" w:rsidRDefault="00021E15" w:rsidP="00093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2263779"/>
      <w:docPartObj>
        <w:docPartGallery w:val="Page Numbers (Bottom of Page)"/>
        <w:docPartUnique/>
      </w:docPartObj>
    </w:sdtPr>
    <w:sdtEndPr/>
    <w:sdtContent>
      <w:p w14:paraId="623EA31B" w14:textId="77777777" w:rsidR="00021E15" w:rsidRDefault="008C5207">
        <w:pPr>
          <w:pStyle w:val="Footer"/>
        </w:pPr>
        <w:r>
          <w:fldChar w:fldCharType="begin"/>
        </w:r>
        <w:r w:rsidR="00DE3B5C">
          <w:instrText xml:space="preserve"> PAGE   \* MERGEFORMAT </w:instrText>
        </w:r>
        <w:r>
          <w:fldChar w:fldCharType="separate"/>
        </w:r>
        <w:r w:rsidR="00C71597">
          <w:t>1</w:t>
        </w:r>
        <w:r>
          <w:fldChar w:fldCharType="end"/>
        </w:r>
      </w:p>
    </w:sdtContent>
  </w:sdt>
  <w:p w14:paraId="1804372D" w14:textId="77777777" w:rsidR="00021E15" w:rsidRDefault="00021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BCD7C" w14:textId="77777777" w:rsidR="00D71BCE" w:rsidRDefault="00D71BCE" w:rsidP="00C9263D">
      <w:pPr>
        <w:spacing w:after="0" w:line="240" w:lineRule="auto"/>
      </w:pPr>
      <w:r>
        <w:separator/>
      </w:r>
    </w:p>
  </w:footnote>
  <w:footnote w:type="continuationSeparator" w:id="0">
    <w:p w14:paraId="0C14EC98" w14:textId="77777777" w:rsidR="00D71BCE" w:rsidRDefault="00D71BCE" w:rsidP="00C92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D49DD" w14:textId="0D8E8D91" w:rsidR="00021E15" w:rsidRPr="0098652B" w:rsidRDefault="00021E15" w:rsidP="0098652B">
    <w:pPr>
      <w:pStyle w:val="Header"/>
    </w:pPr>
    <w:r w:rsidRPr="0098652B">
      <w:t>S&amp;RHP</w:t>
    </w:r>
    <w:r w:rsidR="00FB4FDF" w:rsidRPr="0098652B">
      <w:t>:</w:t>
    </w:r>
    <w:r w:rsidR="004E6E14">
      <w:t xml:space="preserve"> </w:t>
    </w:r>
    <w:r w:rsidR="004A0539">
      <w:t>26</w:t>
    </w:r>
    <w:r w:rsidR="000A2768">
      <w:t>/</w:t>
    </w:r>
    <w:r w:rsidR="004A0539">
      <w:t>11</w:t>
    </w:r>
    <w:r w:rsidR="0020488A">
      <w:t>/202</w:t>
    </w:r>
    <w:r w:rsidR="00083EAB">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129F9" w14:textId="77777777" w:rsidR="00021E15" w:rsidRDefault="00021E15" w:rsidP="0098652B">
    <w:pPr>
      <w:pStyle w:val="Header"/>
    </w:pPr>
    <w:r w:rsidRPr="0098652B">
      <w:t xml:space="preserve">S&amp;RHP: </w:t>
    </w:r>
    <w:r w:rsidRPr="00E27ACC">
      <w:rPr>
        <w:noProof/>
        <w:lang w:eastAsia="en-GB"/>
      </w:rPr>
      <w:drawing>
        <wp:anchor distT="0" distB="0" distL="114300" distR="114300" simplePos="0" relativeHeight="251659264" behindDoc="0" locked="0" layoutInCell="1" allowOverlap="1" wp14:anchorId="78FC62B2" wp14:editId="05632CB8">
          <wp:simplePos x="0" y="0"/>
          <wp:positionH relativeFrom="column">
            <wp:posOffset>-720090</wp:posOffset>
          </wp:positionH>
          <wp:positionV relativeFrom="paragraph">
            <wp:posOffset>-358140</wp:posOffset>
          </wp:positionV>
          <wp:extent cx="3721100" cy="1912620"/>
          <wp:effectExtent l="0" t="0" r="1270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trapline legal.jpg"/>
                  <pic:cNvPicPr/>
                </pic:nvPicPr>
                <pic:blipFill>
                  <a:blip r:embed="rId1">
                    <a:extLst>
                      <a:ext uri="{28A0092B-C50C-407E-A947-70E740481C1C}">
                        <a14:useLocalDpi xmlns:a14="http://schemas.microsoft.com/office/drawing/2010/main" val="0"/>
                      </a:ext>
                    </a:extLst>
                  </a:blip>
                  <a:stretch>
                    <a:fillRect/>
                  </a:stretch>
                </pic:blipFill>
                <pic:spPr>
                  <a:xfrm>
                    <a:off x="0" y="0"/>
                    <a:ext cx="3721100" cy="1913890"/>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4B7B48">
      <w:t>01</w:t>
    </w:r>
    <w:r w:rsidR="00E472B3">
      <w:t>/0</w:t>
    </w:r>
    <w:r w:rsidR="004B7B48">
      <w:t>8</w:t>
    </w:r>
    <w:r w:rsidR="00E472B3">
      <w:t>/2019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579DB"/>
    <w:multiLevelType w:val="hybridMultilevel"/>
    <w:tmpl w:val="25E2C8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4C672B"/>
    <w:multiLevelType w:val="hybridMultilevel"/>
    <w:tmpl w:val="D3420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21531"/>
    <w:multiLevelType w:val="hybridMultilevel"/>
    <w:tmpl w:val="42D41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497013"/>
    <w:multiLevelType w:val="hybridMultilevel"/>
    <w:tmpl w:val="BDAE4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2F4529"/>
    <w:multiLevelType w:val="hybridMultilevel"/>
    <w:tmpl w:val="EA74E5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09C1F17"/>
    <w:multiLevelType w:val="hybridMultilevel"/>
    <w:tmpl w:val="F4B43D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0B30FDE"/>
    <w:multiLevelType w:val="hybridMultilevel"/>
    <w:tmpl w:val="AF443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D00D81"/>
    <w:multiLevelType w:val="hybridMultilevel"/>
    <w:tmpl w:val="8AD6C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1E1B6B"/>
    <w:multiLevelType w:val="hybridMultilevel"/>
    <w:tmpl w:val="25A46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BF583C"/>
    <w:multiLevelType w:val="hybridMultilevel"/>
    <w:tmpl w:val="70DE71F2"/>
    <w:lvl w:ilvl="0" w:tplc="08090001">
      <w:start w:val="1"/>
      <w:numFmt w:val="bullet"/>
      <w:lvlText w:val=""/>
      <w:lvlJc w:val="left"/>
      <w:pPr>
        <w:ind w:left="810" w:hanging="360"/>
      </w:pPr>
      <w:rPr>
        <w:rFonts w:ascii="Symbol" w:hAnsi="Symbol" w:hint="default"/>
      </w:rPr>
    </w:lvl>
    <w:lvl w:ilvl="1" w:tplc="08090003">
      <w:start w:val="1"/>
      <w:numFmt w:val="bullet"/>
      <w:lvlText w:val="o"/>
      <w:lvlJc w:val="left"/>
      <w:pPr>
        <w:ind w:left="1530" w:hanging="360"/>
      </w:pPr>
      <w:rPr>
        <w:rFonts w:ascii="Courier New" w:hAnsi="Courier New" w:cs="Courier New" w:hint="default"/>
      </w:rPr>
    </w:lvl>
    <w:lvl w:ilvl="2" w:tplc="08090005">
      <w:start w:val="1"/>
      <w:numFmt w:val="bullet"/>
      <w:lvlText w:val=""/>
      <w:lvlJc w:val="left"/>
      <w:pPr>
        <w:ind w:left="2250" w:hanging="360"/>
      </w:pPr>
      <w:rPr>
        <w:rFonts w:ascii="Wingdings" w:hAnsi="Wingdings" w:hint="default"/>
      </w:rPr>
    </w:lvl>
    <w:lvl w:ilvl="3" w:tplc="08090001">
      <w:start w:val="1"/>
      <w:numFmt w:val="bullet"/>
      <w:lvlText w:val=""/>
      <w:lvlJc w:val="left"/>
      <w:pPr>
        <w:ind w:left="2970" w:hanging="360"/>
      </w:pPr>
      <w:rPr>
        <w:rFonts w:ascii="Symbol" w:hAnsi="Symbol" w:hint="default"/>
      </w:rPr>
    </w:lvl>
    <w:lvl w:ilvl="4" w:tplc="08090003">
      <w:start w:val="1"/>
      <w:numFmt w:val="bullet"/>
      <w:lvlText w:val="o"/>
      <w:lvlJc w:val="left"/>
      <w:pPr>
        <w:ind w:left="3690" w:hanging="360"/>
      </w:pPr>
      <w:rPr>
        <w:rFonts w:ascii="Courier New" w:hAnsi="Courier New" w:cs="Courier New" w:hint="default"/>
      </w:rPr>
    </w:lvl>
    <w:lvl w:ilvl="5" w:tplc="08090005">
      <w:start w:val="1"/>
      <w:numFmt w:val="bullet"/>
      <w:lvlText w:val=""/>
      <w:lvlJc w:val="left"/>
      <w:pPr>
        <w:ind w:left="4410" w:hanging="360"/>
      </w:pPr>
      <w:rPr>
        <w:rFonts w:ascii="Wingdings" w:hAnsi="Wingdings" w:hint="default"/>
      </w:rPr>
    </w:lvl>
    <w:lvl w:ilvl="6" w:tplc="08090001">
      <w:start w:val="1"/>
      <w:numFmt w:val="bullet"/>
      <w:lvlText w:val=""/>
      <w:lvlJc w:val="left"/>
      <w:pPr>
        <w:ind w:left="5130" w:hanging="360"/>
      </w:pPr>
      <w:rPr>
        <w:rFonts w:ascii="Symbol" w:hAnsi="Symbol" w:hint="default"/>
      </w:rPr>
    </w:lvl>
    <w:lvl w:ilvl="7" w:tplc="08090003">
      <w:start w:val="1"/>
      <w:numFmt w:val="bullet"/>
      <w:lvlText w:val="o"/>
      <w:lvlJc w:val="left"/>
      <w:pPr>
        <w:ind w:left="5850" w:hanging="360"/>
      </w:pPr>
      <w:rPr>
        <w:rFonts w:ascii="Courier New" w:hAnsi="Courier New" w:cs="Courier New" w:hint="default"/>
      </w:rPr>
    </w:lvl>
    <w:lvl w:ilvl="8" w:tplc="08090005">
      <w:start w:val="1"/>
      <w:numFmt w:val="bullet"/>
      <w:lvlText w:val=""/>
      <w:lvlJc w:val="left"/>
      <w:pPr>
        <w:ind w:left="6570" w:hanging="360"/>
      </w:pPr>
      <w:rPr>
        <w:rFonts w:ascii="Wingdings" w:hAnsi="Wingdings" w:hint="default"/>
      </w:rPr>
    </w:lvl>
  </w:abstractNum>
  <w:abstractNum w:abstractNumId="10" w15:restartNumberingAfterBreak="0">
    <w:nsid w:val="4B69408B"/>
    <w:multiLevelType w:val="hybridMultilevel"/>
    <w:tmpl w:val="F7065C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4B7A3CFF"/>
    <w:multiLevelType w:val="hybridMultilevel"/>
    <w:tmpl w:val="8C40F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E282366"/>
    <w:multiLevelType w:val="hybridMultilevel"/>
    <w:tmpl w:val="441EB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681EE8"/>
    <w:multiLevelType w:val="hybridMultilevel"/>
    <w:tmpl w:val="B9348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B73015"/>
    <w:multiLevelType w:val="hybridMultilevel"/>
    <w:tmpl w:val="9DA8D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E63B24"/>
    <w:multiLevelType w:val="hybridMultilevel"/>
    <w:tmpl w:val="85245C0E"/>
    <w:lvl w:ilvl="0" w:tplc="B0EE10D0">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576511A"/>
    <w:multiLevelType w:val="hybridMultilevel"/>
    <w:tmpl w:val="22FEBE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B495971"/>
    <w:multiLevelType w:val="hybridMultilevel"/>
    <w:tmpl w:val="B2EA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C1BC1"/>
    <w:multiLevelType w:val="hybridMultilevel"/>
    <w:tmpl w:val="39E8C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9E6399"/>
    <w:multiLevelType w:val="hybridMultilevel"/>
    <w:tmpl w:val="D8FCC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582B98"/>
    <w:multiLevelType w:val="hybridMultilevel"/>
    <w:tmpl w:val="DA941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030382F"/>
    <w:multiLevelType w:val="hybridMultilevel"/>
    <w:tmpl w:val="63B48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E763C2"/>
    <w:multiLevelType w:val="hybridMultilevel"/>
    <w:tmpl w:val="8CE6C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AC6354"/>
    <w:multiLevelType w:val="hybridMultilevel"/>
    <w:tmpl w:val="5C220E9E"/>
    <w:lvl w:ilvl="0" w:tplc="5BEA7A62">
      <w:start w:val="19"/>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3"/>
  </w:num>
  <w:num w:numId="4">
    <w:abstractNumId w:val="1"/>
  </w:num>
  <w:num w:numId="5">
    <w:abstractNumId w:val="15"/>
  </w:num>
  <w:num w:numId="6">
    <w:abstractNumId w:val="11"/>
  </w:num>
  <w:num w:numId="7">
    <w:abstractNumId w:val="21"/>
  </w:num>
  <w:num w:numId="8">
    <w:abstractNumId w:val="23"/>
  </w:num>
  <w:num w:numId="9">
    <w:abstractNumId w:val="8"/>
  </w:num>
  <w:num w:numId="10">
    <w:abstractNumId w:val="14"/>
  </w:num>
  <w:num w:numId="11">
    <w:abstractNumId w:val="9"/>
  </w:num>
  <w:num w:numId="12">
    <w:abstractNumId w:val="19"/>
  </w:num>
  <w:num w:numId="13">
    <w:abstractNumId w:val="18"/>
  </w:num>
  <w:num w:numId="14">
    <w:abstractNumId w:val="2"/>
  </w:num>
  <w:num w:numId="15">
    <w:abstractNumId w:val="20"/>
  </w:num>
  <w:num w:numId="16">
    <w:abstractNumId w:val="10"/>
  </w:num>
  <w:num w:numId="17">
    <w:abstractNumId w:val="0"/>
  </w:num>
  <w:num w:numId="18">
    <w:abstractNumId w:val="6"/>
  </w:num>
  <w:num w:numId="19">
    <w:abstractNumId w:val="3"/>
  </w:num>
  <w:num w:numId="20">
    <w:abstractNumId w:val="17"/>
  </w:num>
  <w:num w:numId="21">
    <w:abstractNumId w:val="16"/>
  </w:num>
  <w:num w:numId="22">
    <w:abstractNumId w:val="5"/>
  </w:num>
  <w:num w:numId="23">
    <w:abstractNumId w:val="22"/>
  </w:num>
  <w:num w:numId="24">
    <w:abstractNumId w:val="7"/>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36E"/>
    <w:rsid w:val="000142ED"/>
    <w:rsid w:val="00021E15"/>
    <w:rsid w:val="000221DC"/>
    <w:rsid w:val="000268F1"/>
    <w:rsid w:val="00032D09"/>
    <w:rsid w:val="00032F26"/>
    <w:rsid w:val="00042BA1"/>
    <w:rsid w:val="000440B8"/>
    <w:rsid w:val="00047CDB"/>
    <w:rsid w:val="00060985"/>
    <w:rsid w:val="00066690"/>
    <w:rsid w:val="00076B5C"/>
    <w:rsid w:val="00083EAB"/>
    <w:rsid w:val="000879EE"/>
    <w:rsid w:val="00091D72"/>
    <w:rsid w:val="00093B98"/>
    <w:rsid w:val="000946DE"/>
    <w:rsid w:val="000A21AC"/>
    <w:rsid w:val="000A2768"/>
    <w:rsid w:val="000A40A0"/>
    <w:rsid w:val="000B17E5"/>
    <w:rsid w:val="000B3EFD"/>
    <w:rsid w:val="000B460D"/>
    <w:rsid w:val="000B7C38"/>
    <w:rsid w:val="000C264B"/>
    <w:rsid w:val="000C675E"/>
    <w:rsid w:val="000E208E"/>
    <w:rsid w:val="000E294C"/>
    <w:rsid w:val="000F5E4C"/>
    <w:rsid w:val="000F656B"/>
    <w:rsid w:val="00121BAA"/>
    <w:rsid w:val="00122F01"/>
    <w:rsid w:val="00136FF1"/>
    <w:rsid w:val="001436A3"/>
    <w:rsid w:val="00144223"/>
    <w:rsid w:val="00153450"/>
    <w:rsid w:val="00156BDD"/>
    <w:rsid w:val="00162539"/>
    <w:rsid w:val="001628B6"/>
    <w:rsid w:val="00164FB2"/>
    <w:rsid w:val="00165CA6"/>
    <w:rsid w:val="00171C0F"/>
    <w:rsid w:val="00187317"/>
    <w:rsid w:val="00192245"/>
    <w:rsid w:val="0019355E"/>
    <w:rsid w:val="001938F7"/>
    <w:rsid w:val="001A1DE9"/>
    <w:rsid w:val="001A3D77"/>
    <w:rsid w:val="001A4090"/>
    <w:rsid w:val="001A7675"/>
    <w:rsid w:val="001C4481"/>
    <w:rsid w:val="001D3221"/>
    <w:rsid w:val="001E60EB"/>
    <w:rsid w:val="001F7009"/>
    <w:rsid w:val="0020488A"/>
    <w:rsid w:val="00204A99"/>
    <w:rsid w:val="00204F9C"/>
    <w:rsid w:val="00215F08"/>
    <w:rsid w:val="002168BE"/>
    <w:rsid w:val="00216BF1"/>
    <w:rsid w:val="0025289E"/>
    <w:rsid w:val="00260A7F"/>
    <w:rsid w:val="00261F7A"/>
    <w:rsid w:val="0026397F"/>
    <w:rsid w:val="002659E4"/>
    <w:rsid w:val="00266A4E"/>
    <w:rsid w:val="00284EB8"/>
    <w:rsid w:val="0029009F"/>
    <w:rsid w:val="00294EF0"/>
    <w:rsid w:val="002952BE"/>
    <w:rsid w:val="00296739"/>
    <w:rsid w:val="002A11F3"/>
    <w:rsid w:val="002A3058"/>
    <w:rsid w:val="002B1F28"/>
    <w:rsid w:val="002C0602"/>
    <w:rsid w:val="002C11DC"/>
    <w:rsid w:val="002C3111"/>
    <w:rsid w:val="002C5BCC"/>
    <w:rsid w:val="002C67C0"/>
    <w:rsid w:val="002D3171"/>
    <w:rsid w:val="002E6966"/>
    <w:rsid w:val="002F109B"/>
    <w:rsid w:val="002F265A"/>
    <w:rsid w:val="00311A38"/>
    <w:rsid w:val="003271A8"/>
    <w:rsid w:val="00327AD1"/>
    <w:rsid w:val="00327E15"/>
    <w:rsid w:val="00333AD1"/>
    <w:rsid w:val="00343E08"/>
    <w:rsid w:val="00350F74"/>
    <w:rsid w:val="003526C2"/>
    <w:rsid w:val="00362747"/>
    <w:rsid w:val="00373302"/>
    <w:rsid w:val="00382B74"/>
    <w:rsid w:val="00385A79"/>
    <w:rsid w:val="00396AE5"/>
    <w:rsid w:val="003974B5"/>
    <w:rsid w:val="003A19F1"/>
    <w:rsid w:val="003A6347"/>
    <w:rsid w:val="003B3573"/>
    <w:rsid w:val="003B6CBC"/>
    <w:rsid w:val="003C58D6"/>
    <w:rsid w:val="003E345D"/>
    <w:rsid w:val="00401414"/>
    <w:rsid w:val="00410C58"/>
    <w:rsid w:val="0041377A"/>
    <w:rsid w:val="00413F93"/>
    <w:rsid w:val="0042009D"/>
    <w:rsid w:val="0042057D"/>
    <w:rsid w:val="004206E3"/>
    <w:rsid w:val="00420B6B"/>
    <w:rsid w:val="00424CD3"/>
    <w:rsid w:val="00442719"/>
    <w:rsid w:val="00443DC8"/>
    <w:rsid w:val="00451173"/>
    <w:rsid w:val="00453C6A"/>
    <w:rsid w:val="00454644"/>
    <w:rsid w:val="0045648D"/>
    <w:rsid w:val="004645D6"/>
    <w:rsid w:val="004738C6"/>
    <w:rsid w:val="004836EE"/>
    <w:rsid w:val="004937C1"/>
    <w:rsid w:val="004940C3"/>
    <w:rsid w:val="0049724B"/>
    <w:rsid w:val="004A0539"/>
    <w:rsid w:val="004A2B5C"/>
    <w:rsid w:val="004A48D0"/>
    <w:rsid w:val="004A7088"/>
    <w:rsid w:val="004A7DA9"/>
    <w:rsid w:val="004B73CD"/>
    <w:rsid w:val="004B76B9"/>
    <w:rsid w:val="004B7B48"/>
    <w:rsid w:val="004B7FFB"/>
    <w:rsid w:val="004C66B8"/>
    <w:rsid w:val="004D6F86"/>
    <w:rsid w:val="004E2A6D"/>
    <w:rsid w:val="004E57B8"/>
    <w:rsid w:val="004E6E14"/>
    <w:rsid w:val="004E722A"/>
    <w:rsid w:val="005052FF"/>
    <w:rsid w:val="0050688D"/>
    <w:rsid w:val="005072B3"/>
    <w:rsid w:val="0051340E"/>
    <w:rsid w:val="00523D16"/>
    <w:rsid w:val="00531BD0"/>
    <w:rsid w:val="00532F6B"/>
    <w:rsid w:val="005347B0"/>
    <w:rsid w:val="0053558D"/>
    <w:rsid w:val="0054124B"/>
    <w:rsid w:val="00542FAD"/>
    <w:rsid w:val="00546B71"/>
    <w:rsid w:val="0056604E"/>
    <w:rsid w:val="00571080"/>
    <w:rsid w:val="0057127C"/>
    <w:rsid w:val="00576820"/>
    <w:rsid w:val="0058233D"/>
    <w:rsid w:val="00582763"/>
    <w:rsid w:val="00585C79"/>
    <w:rsid w:val="00595774"/>
    <w:rsid w:val="005A43F3"/>
    <w:rsid w:val="005A56C3"/>
    <w:rsid w:val="005B3BC5"/>
    <w:rsid w:val="005D0031"/>
    <w:rsid w:val="005E11EB"/>
    <w:rsid w:val="005E2024"/>
    <w:rsid w:val="005E6370"/>
    <w:rsid w:val="005F20B5"/>
    <w:rsid w:val="00601040"/>
    <w:rsid w:val="006027D1"/>
    <w:rsid w:val="00610AEB"/>
    <w:rsid w:val="0061208D"/>
    <w:rsid w:val="00625A83"/>
    <w:rsid w:val="006315A5"/>
    <w:rsid w:val="00641179"/>
    <w:rsid w:val="00642D47"/>
    <w:rsid w:val="0065333E"/>
    <w:rsid w:val="006555E6"/>
    <w:rsid w:val="00662645"/>
    <w:rsid w:val="006640CE"/>
    <w:rsid w:val="0067047C"/>
    <w:rsid w:val="00686FCE"/>
    <w:rsid w:val="00694BCC"/>
    <w:rsid w:val="0069670A"/>
    <w:rsid w:val="006B2AC2"/>
    <w:rsid w:val="006D4EC9"/>
    <w:rsid w:val="006D547C"/>
    <w:rsid w:val="006D64B9"/>
    <w:rsid w:val="006F0740"/>
    <w:rsid w:val="00703814"/>
    <w:rsid w:val="0071227E"/>
    <w:rsid w:val="0071440C"/>
    <w:rsid w:val="00714D36"/>
    <w:rsid w:val="00714F69"/>
    <w:rsid w:val="00716B28"/>
    <w:rsid w:val="00717B98"/>
    <w:rsid w:val="00717E6D"/>
    <w:rsid w:val="00734AFD"/>
    <w:rsid w:val="00761FB9"/>
    <w:rsid w:val="007647BD"/>
    <w:rsid w:val="007660EA"/>
    <w:rsid w:val="00770905"/>
    <w:rsid w:val="00781830"/>
    <w:rsid w:val="007838F0"/>
    <w:rsid w:val="00790463"/>
    <w:rsid w:val="007905BE"/>
    <w:rsid w:val="007950BD"/>
    <w:rsid w:val="007A06AB"/>
    <w:rsid w:val="007A1C39"/>
    <w:rsid w:val="007A1CB6"/>
    <w:rsid w:val="007A2851"/>
    <w:rsid w:val="007A6D00"/>
    <w:rsid w:val="007C15B0"/>
    <w:rsid w:val="007C7508"/>
    <w:rsid w:val="007D2C90"/>
    <w:rsid w:val="007D5477"/>
    <w:rsid w:val="007D55C2"/>
    <w:rsid w:val="007E11FB"/>
    <w:rsid w:val="007F392D"/>
    <w:rsid w:val="007F3F0B"/>
    <w:rsid w:val="007F4A34"/>
    <w:rsid w:val="007F7A98"/>
    <w:rsid w:val="007F7AAC"/>
    <w:rsid w:val="00810D6F"/>
    <w:rsid w:val="00811D80"/>
    <w:rsid w:val="00811E18"/>
    <w:rsid w:val="00820107"/>
    <w:rsid w:val="0082224D"/>
    <w:rsid w:val="00822D6C"/>
    <w:rsid w:val="008247CF"/>
    <w:rsid w:val="00827397"/>
    <w:rsid w:val="00846906"/>
    <w:rsid w:val="00851E3D"/>
    <w:rsid w:val="00852899"/>
    <w:rsid w:val="00855AFA"/>
    <w:rsid w:val="00862250"/>
    <w:rsid w:val="008669B3"/>
    <w:rsid w:val="0086700E"/>
    <w:rsid w:val="008709DA"/>
    <w:rsid w:val="00872E7C"/>
    <w:rsid w:val="008772B8"/>
    <w:rsid w:val="008837BD"/>
    <w:rsid w:val="00897B3E"/>
    <w:rsid w:val="008A58F8"/>
    <w:rsid w:val="008B3EA3"/>
    <w:rsid w:val="008C3F2C"/>
    <w:rsid w:val="008C5207"/>
    <w:rsid w:val="008C6856"/>
    <w:rsid w:val="008C6BC7"/>
    <w:rsid w:val="008C7B8F"/>
    <w:rsid w:val="008D066C"/>
    <w:rsid w:val="008E7143"/>
    <w:rsid w:val="008F1B3E"/>
    <w:rsid w:val="00902356"/>
    <w:rsid w:val="0090697F"/>
    <w:rsid w:val="0092649D"/>
    <w:rsid w:val="0093349B"/>
    <w:rsid w:val="00943CA8"/>
    <w:rsid w:val="00943CD1"/>
    <w:rsid w:val="0094521D"/>
    <w:rsid w:val="00954F33"/>
    <w:rsid w:val="00960F40"/>
    <w:rsid w:val="00962C79"/>
    <w:rsid w:val="009632E3"/>
    <w:rsid w:val="00965918"/>
    <w:rsid w:val="00970413"/>
    <w:rsid w:val="009810D6"/>
    <w:rsid w:val="0098419D"/>
    <w:rsid w:val="0098652B"/>
    <w:rsid w:val="009867DC"/>
    <w:rsid w:val="0099659E"/>
    <w:rsid w:val="009A4223"/>
    <w:rsid w:val="009B3EC9"/>
    <w:rsid w:val="009C2708"/>
    <w:rsid w:val="009C7DE9"/>
    <w:rsid w:val="009D574E"/>
    <w:rsid w:val="009E078F"/>
    <w:rsid w:val="009F04B1"/>
    <w:rsid w:val="009F0C16"/>
    <w:rsid w:val="009F1F27"/>
    <w:rsid w:val="009F27EA"/>
    <w:rsid w:val="00A023E3"/>
    <w:rsid w:val="00A12C65"/>
    <w:rsid w:val="00A15BDF"/>
    <w:rsid w:val="00A16A6E"/>
    <w:rsid w:val="00A23FB7"/>
    <w:rsid w:val="00A32EC2"/>
    <w:rsid w:val="00A336DF"/>
    <w:rsid w:val="00A43D58"/>
    <w:rsid w:val="00A47F76"/>
    <w:rsid w:val="00A47FBC"/>
    <w:rsid w:val="00A5107C"/>
    <w:rsid w:val="00A52928"/>
    <w:rsid w:val="00A53B23"/>
    <w:rsid w:val="00A55459"/>
    <w:rsid w:val="00A629A5"/>
    <w:rsid w:val="00A63D63"/>
    <w:rsid w:val="00A64956"/>
    <w:rsid w:val="00A74B2C"/>
    <w:rsid w:val="00A83575"/>
    <w:rsid w:val="00A837B0"/>
    <w:rsid w:val="00A8567A"/>
    <w:rsid w:val="00A928A7"/>
    <w:rsid w:val="00A93D39"/>
    <w:rsid w:val="00A94526"/>
    <w:rsid w:val="00AA2213"/>
    <w:rsid w:val="00AA6EC2"/>
    <w:rsid w:val="00AB0524"/>
    <w:rsid w:val="00AB05C2"/>
    <w:rsid w:val="00AB1A2D"/>
    <w:rsid w:val="00AB5687"/>
    <w:rsid w:val="00AB7C0B"/>
    <w:rsid w:val="00AD5BBC"/>
    <w:rsid w:val="00AD65DF"/>
    <w:rsid w:val="00AE034B"/>
    <w:rsid w:val="00AE100C"/>
    <w:rsid w:val="00AE438E"/>
    <w:rsid w:val="00AE6BE8"/>
    <w:rsid w:val="00AE7205"/>
    <w:rsid w:val="00AF0509"/>
    <w:rsid w:val="00AF341C"/>
    <w:rsid w:val="00B021E0"/>
    <w:rsid w:val="00B023EF"/>
    <w:rsid w:val="00B05101"/>
    <w:rsid w:val="00B129D3"/>
    <w:rsid w:val="00B259D8"/>
    <w:rsid w:val="00B32383"/>
    <w:rsid w:val="00B34548"/>
    <w:rsid w:val="00B36824"/>
    <w:rsid w:val="00B4248D"/>
    <w:rsid w:val="00B45989"/>
    <w:rsid w:val="00B52B8E"/>
    <w:rsid w:val="00B54235"/>
    <w:rsid w:val="00B606AB"/>
    <w:rsid w:val="00B64015"/>
    <w:rsid w:val="00B65E69"/>
    <w:rsid w:val="00B71F27"/>
    <w:rsid w:val="00B728B7"/>
    <w:rsid w:val="00B745EE"/>
    <w:rsid w:val="00B84292"/>
    <w:rsid w:val="00B9136E"/>
    <w:rsid w:val="00B957A6"/>
    <w:rsid w:val="00BA1A32"/>
    <w:rsid w:val="00BB295B"/>
    <w:rsid w:val="00BB316F"/>
    <w:rsid w:val="00BB588E"/>
    <w:rsid w:val="00BC2CBD"/>
    <w:rsid w:val="00BC5003"/>
    <w:rsid w:val="00BF02BB"/>
    <w:rsid w:val="00BF3730"/>
    <w:rsid w:val="00BF603B"/>
    <w:rsid w:val="00BF78B7"/>
    <w:rsid w:val="00C00D6C"/>
    <w:rsid w:val="00C026CA"/>
    <w:rsid w:val="00C05560"/>
    <w:rsid w:val="00C05A18"/>
    <w:rsid w:val="00C15C70"/>
    <w:rsid w:val="00C26C22"/>
    <w:rsid w:val="00C27E8E"/>
    <w:rsid w:val="00C30B96"/>
    <w:rsid w:val="00C32DD1"/>
    <w:rsid w:val="00C34865"/>
    <w:rsid w:val="00C3602B"/>
    <w:rsid w:val="00C518A9"/>
    <w:rsid w:val="00C54123"/>
    <w:rsid w:val="00C61053"/>
    <w:rsid w:val="00C61772"/>
    <w:rsid w:val="00C67B67"/>
    <w:rsid w:val="00C71597"/>
    <w:rsid w:val="00C72144"/>
    <w:rsid w:val="00C729F3"/>
    <w:rsid w:val="00C74C85"/>
    <w:rsid w:val="00C7532A"/>
    <w:rsid w:val="00C801C8"/>
    <w:rsid w:val="00C85492"/>
    <w:rsid w:val="00C87976"/>
    <w:rsid w:val="00C912EF"/>
    <w:rsid w:val="00C9263D"/>
    <w:rsid w:val="00C970C7"/>
    <w:rsid w:val="00CA12B4"/>
    <w:rsid w:val="00CB15C0"/>
    <w:rsid w:val="00CB4E3A"/>
    <w:rsid w:val="00CD6D30"/>
    <w:rsid w:val="00CE2418"/>
    <w:rsid w:val="00CE2D90"/>
    <w:rsid w:val="00CF062E"/>
    <w:rsid w:val="00CF1A7D"/>
    <w:rsid w:val="00CF1F6D"/>
    <w:rsid w:val="00CF4949"/>
    <w:rsid w:val="00CF6E95"/>
    <w:rsid w:val="00D07BE4"/>
    <w:rsid w:val="00D13FBC"/>
    <w:rsid w:val="00D351FB"/>
    <w:rsid w:val="00D36BE0"/>
    <w:rsid w:val="00D46333"/>
    <w:rsid w:val="00D71BCE"/>
    <w:rsid w:val="00D7540E"/>
    <w:rsid w:val="00D770CD"/>
    <w:rsid w:val="00D77D51"/>
    <w:rsid w:val="00D924B0"/>
    <w:rsid w:val="00D944F1"/>
    <w:rsid w:val="00D94F68"/>
    <w:rsid w:val="00DA273E"/>
    <w:rsid w:val="00DA512C"/>
    <w:rsid w:val="00DB583C"/>
    <w:rsid w:val="00DD3FAC"/>
    <w:rsid w:val="00DE0D84"/>
    <w:rsid w:val="00DE1C40"/>
    <w:rsid w:val="00DE244C"/>
    <w:rsid w:val="00DE3B5C"/>
    <w:rsid w:val="00DF0441"/>
    <w:rsid w:val="00E07A74"/>
    <w:rsid w:val="00E269E5"/>
    <w:rsid w:val="00E27ACC"/>
    <w:rsid w:val="00E27FE3"/>
    <w:rsid w:val="00E318E2"/>
    <w:rsid w:val="00E472B3"/>
    <w:rsid w:val="00E50131"/>
    <w:rsid w:val="00E56BD2"/>
    <w:rsid w:val="00E622B8"/>
    <w:rsid w:val="00E62847"/>
    <w:rsid w:val="00E73056"/>
    <w:rsid w:val="00E762EC"/>
    <w:rsid w:val="00E805F6"/>
    <w:rsid w:val="00E8118C"/>
    <w:rsid w:val="00E82F2D"/>
    <w:rsid w:val="00E84250"/>
    <w:rsid w:val="00E96E42"/>
    <w:rsid w:val="00EA1C54"/>
    <w:rsid w:val="00EA2E04"/>
    <w:rsid w:val="00EA38AC"/>
    <w:rsid w:val="00EB3716"/>
    <w:rsid w:val="00EB51E4"/>
    <w:rsid w:val="00EB5E34"/>
    <w:rsid w:val="00EB6030"/>
    <w:rsid w:val="00ED37E3"/>
    <w:rsid w:val="00EF1232"/>
    <w:rsid w:val="00EF145F"/>
    <w:rsid w:val="00EF68AB"/>
    <w:rsid w:val="00EF6D63"/>
    <w:rsid w:val="00F05BED"/>
    <w:rsid w:val="00F10410"/>
    <w:rsid w:val="00F12E31"/>
    <w:rsid w:val="00F13506"/>
    <w:rsid w:val="00F16E7F"/>
    <w:rsid w:val="00F2080D"/>
    <w:rsid w:val="00F2401C"/>
    <w:rsid w:val="00F27AC4"/>
    <w:rsid w:val="00F377ED"/>
    <w:rsid w:val="00F44A62"/>
    <w:rsid w:val="00F5463E"/>
    <w:rsid w:val="00F54D6E"/>
    <w:rsid w:val="00F62AE3"/>
    <w:rsid w:val="00F676B5"/>
    <w:rsid w:val="00F71887"/>
    <w:rsid w:val="00F83BAF"/>
    <w:rsid w:val="00F877D7"/>
    <w:rsid w:val="00F90B4B"/>
    <w:rsid w:val="00F90E76"/>
    <w:rsid w:val="00F917AC"/>
    <w:rsid w:val="00F91B37"/>
    <w:rsid w:val="00F93D35"/>
    <w:rsid w:val="00FA5150"/>
    <w:rsid w:val="00FB4FDF"/>
    <w:rsid w:val="00FD3A29"/>
    <w:rsid w:val="00FD7F23"/>
    <w:rsid w:val="00FE3059"/>
    <w:rsid w:val="00FE7492"/>
    <w:rsid w:val="00FF0393"/>
    <w:rsid w:val="00FF1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C27B14"/>
  <w15:docId w15:val="{6DB6A60C-ACCF-4CAA-AAEB-1C6F4772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2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7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76B5"/>
    <w:pPr>
      <w:ind w:left="720"/>
      <w:contextualSpacing/>
    </w:pPr>
  </w:style>
  <w:style w:type="paragraph" w:styleId="Header">
    <w:name w:val="header"/>
    <w:basedOn w:val="Normal"/>
    <w:link w:val="HeaderChar"/>
    <w:uiPriority w:val="99"/>
    <w:unhideWhenUsed/>
    <w:rsid w:val="0098652B"/>
    <w:pPr>
      <w:tabs>
        <w:tab w:val="center" w:pos="4513"/>
        <w:tab w:val="right" w:pos="9026"/>
      </w:tabs>
      <w:spacing w:after="0" w:line="240" w:lineRule="auto"/>
      <w:jc w:val="right"/>
    </w:pPr>
    <w:rPr>
      <w:sz w:val="18"/>
      <w:szCs w:val="18"/>
    </w:rPr>
  </w:style>
  <w:style w:type="character" w:customStyle="1" w:styleId="HeaderChar">
    <w:name w:val="Header Char"/>
    <w:basedOn w:val="DefaultParagraphFont"/>
    <w:link w:val="Header"/>
    <w:uiPriority w:val="99"/>
    <w:rsid w:val="0098652B"/>
    <w:rPr>
      <w:sz w:val="18"/>
      <w:szCs w:val="18"/>
    </w:rPr>
  </w:style>
  <w:style w:type="paragraph" w:styleId="Footer">
    <w:name w:val="footer"/>
    <w:basedOn w:val="Normal"/>
    <w:link w:val="FooterChar"/>
    <w:uiPriority w:val="99"/>
    <w:unhideWhenUsed/>
    <w:rsid w:val="00093B98"/>
    <w:pPr>
      <w:tabs>
        <w:tab w:val="center" w:pos="4513"/>
        <w:tab w:val="right" w:pos="9026"/>
      </w:tabs>
      <w:spacing w:after="0" w:line="240" w:lineRule="auto"/>
      <w:jc w:val="right"/>
    </w:pPr>
    <w:rPr>
      <w:noProof/>
      <w:sz w:val="20"/>
      <w:szCs w:val="20"/>
    </w:rPr>
  </w:style>
  <w:style w:type="character" w:customStyle="1" w:styleId="FooterChar">
    <w:name w:val="Footer Char"/>
    <w:basedOn w:val="DefaultParagraphFont"/>
    <w:link w:val="Footer"/>
    <w:uiPriority w:val="99"/>
    <w:rsid w:val="00093B98"/>
    <w:rPr>
      <w:noProof/>
      <w:sz w:val="20"/>
      <w:szCs w:val="20"/>
    </w:rPr>
  </w:style>
  <w:style w:type="paragraph" w:styleId="DocumentMap">
    <w:name w:val="Document Map"/>
    <w:basedOn w:val="Normal"/>
    <w:link w:val="DocumentMapChar"/>
    <w:uiPriority w:val="99"/>
    <w:semiHidden/>
    <w:unhideWhenUsed/>
    <w:rsid w:val="007838F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838F0"/>
    <w:rPr>
      <w:rFonts w:ascii="Tahoma" w:hAnsi="Tahoma" w:cs="Tahoma"/>
      <w:sz w:val="16"/>
      <w:szCs w:val="16"/>
    </w:rPr>
  </w:style>
  <w:style w:type="character" w:styleId="Hyperlink">
    <w:name w:val="Hyperlink"/>
    <w:basedOn w:val="DefaultParagraphFont"/>
    <w:uiPriority w:val="99"/>
    <w:unhideWhenUsed/>
    <w:rsid w:val="00153450"/>
    <w:rPr>
      <w:color w:val="0000FF" w:themeColor="hyperlink"/>
      <w:u w:val="single"/>
    </w:rPr>
  </w:style>
  <w:style w:type="character" w:styleId="FollowedHyperlink">
    <w:name w:val="FollowedHyperlink"/>
    <w:basedOn w:val="DefaultParagraphFont"/>
    <w:uiPriority w:val="99"/>
    <w:semiHidden/>
    <w:unhideWhenUsed/>
    <w:rsid w:val="00153450"/>
    <w:rPr>
      <w:color w:val="800080" w:themeColor="followedHyperlink"/>
      <w:u w:val="single"/>
    </w:rPr>
  </w:style>
  <w:style w:type="paragraph" w:styleId="BalloonText">
    <w:name w:val="Balloon Text"/>
    <w:basedOn w:val="Normal"/>
    <w:link w:val="BalloonTextChar"/>
    <w:uiPriority w:val="99"/>
    <w:semiHidden/>
    <w:unhideWhenUsed/>
    <w:rsid w:val="007C1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5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61035">
      <w:bodyDiv w:val="1"/>
      <w:marLeft w:val="0"/>
      <w:marRight w:val="0"/>
      <w:marTop w:val="0"/>
      <w:marBottom w:val="0"/>
      <w:divBdr>
        <w:top w:val="none" w:sz="0" w:space="0" w:color="auto"/>
        <w:left w:val="none" w:sz="0" w:space="0" w:color="auto"/>
        <w:bottom w:val="none" w:sz="0" w:space="0" w:color="auto"/>
        <w:right w:val="none" w:sz="0" w:space="0" w:color="auto"/>
      </w:divBdr>
    </w:div>
    <w:div w:id="57900216">
      <w:bodyDiv w:val="1"/>
      <w:marLeft w:val="0"/>
      <w:marRight w:val="0"/>
      <w:marTop w:val="0"/>
      <w:marBottom w:val="0"/>
      <w:divBdr>
        <w:top w:val="none" w:sz="0" w:space="0" w:color="auto"/>
        <w:left w:val="none" w:sz="0" w:space="0" w:color="auto"/>
        <w:bottom w:val="none" w:sz="0" w:space="0" w:color="auto"/>
        <w:right w:val="none" w:sz="0" w:space="0" w:color="auto"/>
      </w:divBdr>
    </w:div>
    <w:div w:id="925188189">
      <w:bodyDiv w:val="1"/>
      <w:marLeft w:val="0"/>
      <w:marRight w:val="0"/>
      <w:marTop w:val="0"/>
      <w:marBottom w:val="0"/>
      <w:divBdr>
        <w:top w:val="none" w:sz="0" w:space="0" w:color="auto"/>
        <w:left w:val="none" w:sz="0" w:space="0" w:color="auto"/>
        <w:bottom w:val="none" w:sz="0" w:space="0" w:color="auto"/>
        <w:right w:val="none" w:sz="0" w:space="0" w:color="auto"/>
      </w:divBdr>
    </w:div>
    <w:div w:id="1262641156">
      <w:bodyDiv w:val="1"/>
      <w:marLeft w:val="0"/>
      <w:marRight w:val="0"/>
      <w:marTop w:val="0"/>
      <w:marBottom w:val="0"/>
      <w:divBdr>
        <w:top w:val="none" w:sz="0" w:space="0" w:color="auto"/>
        <w:left w:val="none" w:sz="0" w:space="0" w:color="auto"/>
        <w:bottom w:val="none" w:sz="0" w:space="0" w:color="auto"/>
        <w:right w:val="none" w:sz="0" w:space="0" w:color="auto"/>
      </w:divBdr>
    </w:div>
    <w:div w:id="1497266794">
      <w:bodyDiv w:val="1"/>
      <w:marLeft w:val="0"/>
      <w:marRight w:val="0"/>
      <w:marTop w:val="0"/>
      <w:marBottom w:val="0"/>
      <w:divBdr>
        <w:top w:val="none" w:sz="0" w:space="0" w:color="auto"/>
        <w:left w:val="none" w:sz="0" w:space="0" w:color="auto"/>
        <w:bottom w:val="none" w:sz="0" w:space="0" w:color="auto"/>
        <w:right w:val="none" w:sz="0" w:space="0" w:color="auto"/>
      </w:divBdr>
    </w:div>
    <w:div w:id="15804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statistics/english-indices-of-deprivation-2015"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localhealth.org.uk/"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ons.gov.uk/ons/guide-method/geography/products/area-classifications/ns-area-classifications/ns-2011-area-classifications/index.html" TargetMode="External"/><Relationship Id="rId4" Type="http://schemas.openxmlformats.org/officeDocument/2006/relationships/webSettings" Target="webSettings.xml"/><Relationship Id="rId9" Type="http://schemas.openxmlformats.org/officeDocument/2006/relationships/hyperlink" Target="http://fingertips.phe.org.uk/documents/Compare%20indicators.doc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2839</Words>
  <Characters>16183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Sexual and Reproductive Health Profiles: planned indicator updates 2014/2015</vt:lpstr>
    </vt:vector>
  </TitlesOfParts>
  <Company>Health Protection Agency</Company>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Sexual and Reproductive Health Profiles: planned indicator updates 2014/2015</dc:title>
  <dc:subject>Sexual and Reproductive Health Profiles</dc:subject>
  <dc:creator>Public Health England</dc:creator>
  <cp:keywords>sexual health; reproductive health; health profiles; hiv; sti</cp:keywords>
  <dc:description>Published: 01/04/2014</dc:description>
  <cp:lastModifiedBy>Debbie Mou</cp:lastModifiedBy>
  <cp:revision>10</cp:revision>
  <cp:lastPrinted>2015-03-17T15:06:00Z</cp:lastPrinted>
  <dcterms:created xsi:type="dcterms:W3CDTF">2021-08-05T15:50:00Z</dcterms:created>
  <dcterms:modified xsi:type="dcterms:W3CDTF">2021-11-28T23:50:00Z</dcterms:modified>
</cp:coreProperties>
</file>